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01" w:rsidRPr="005B3F83" w:rsidRDefault="007F355E" w:rsidP="00D2071C">
      <w:pPr>
        <w:pStyle w:val="Heading1"/>
        <w:jc w:val="center"/>
      </w:pPr>
      <w:r>
        <w:t>Implementation and prelimin</w:t>
      </w:r>
      <w:r w:rsidR="00AC63BD">
        <w:t xml:space="preserve">ary results of high resolution </w:t>
      </w:r>
      <w:r>
        <w:t>Ensemble Prediction System at NCMRWF</w:t>
      </w:r>
    </w:p>
    <w:p w:rsidR="001D07A8" w:rsidRDefault="001D07A8" w:rsidP="001D07A8"/>
    <w:p w:rsidR="003E0B01" w:rsidRPr="00B64A79" w:rsidRDefault="007F355E" w:rsidP="00DF1EB3">
      <w:pPr>
        <w:pStyle w:val="Heading2"/>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Abhijit</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Sarkar</w:t>
      </w:r>
      <w:proofErr w:type="spellEnd"/>
      <w:r w:rsidR="003E0B01" w:rsidRPr="00B64A79">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Ashu</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Mamgain</w:t>
      </w:r>
      <w:proofErr w:type="spellEnd"/>
      <w:r w:rsidR="003E0B01" w:rsidRPr="00B64A79">
        <w:rPr>
          <w:rFonts w:ascii="Times New Roman" w:hAnsi="Times New Roman" w:cs="Times New Roman"/>
          <w:color w:val="auto"/>
          <w:sz w:val="24"/>
          <w:szCs w:val="24"/>
        </w:rPr>
        <w:t xml:space="preserve"> and </w:t>
      </w:r>
      <w:r>
        <w:rPr>
          <w:rFonts w:ascii="Times New Roman" w:hAnsi="Times New Roman" w:cs="Times New Roman"/>
          <w:color w:val="auto"/>
          <w:sz w:val="24"/>
          <w:szCs w:val="24"/>
        </w:rPr>
        <w:t xml:space="preserve">E. N. </w:t>
      </w:r>
      <w:proofErr w:type="spellStart"/>
      <w:r>
        <w:rPr>
          <w:rFonts w:ascii="Times New Roman" w:hAnsi="Times New Roman" w:cs="Times New Roman"/>
          <w:color w:val="auto"/>
          <w:sz w:val="24"/>
          <w:szCs w:val="24"/>
        </w:rPr>
        <w:t>Rajagopal</w:t>
      </w:r>
      <w:proofErr w:type="spellEnd"/>
    </w:p>
    <w:p w:rsidR="003E0B01" w:rsidRPr="00B64A79" w:rsidRDefault="003E0B01" w:rsidP="003E0B01"/>
    <w:p w:rsidR="003E0B01" w:rsidRPr="00B64A79" w:rsidRDefault="007F355E" w:rsidP="003E0B01">
      <w:pPr>
        <w:jc w:val="center"/>
        <w:rPr>
          <w:rFonts w:ascii="Times New Roman" w:hAnsi="Times New Roman" w:cs="Times New Roman"/>
          <w:sz w:val="22"/>
          <w:szCs w:val="22"/>
        </w:rPr>
      </w:pPr>
      <w:r>
        <w:rPr>
          <w:rFonts w:ascii="Times New Roman" w:hAnsi="Times New Roman" w:cs="Times New Roman"/>
          <w:i/>
          <w:sz w:val="22"/>
          <w:szCs w:val="22"/>
        </w:rPr>
        <w:t>National Centre for Medium Range Weather Forecasting</w:t>
      </w:r>
      <w:r w:rsidR="003E0B01" w:rsidRPr="00B64A79">
        <w:rPr>
          <w:rFonts w:ascii="Times New Roman" w:hAnsi="Times New Roman" w:cs="Times New Roman"/>
          <w:i/>
          <w:sz w:val="22"/>
          <w:szCs w:val="22"/>
        </w:rPr>
        <w:t>,</w:t>
      </w:r>
      <w:r>
        <w:rPr>
          <w:rFonts w:ascii="Times New Roman" w:hAnsi="Times New Roman" w:cs="Times New Roman"/>
          <w:i/>
          <w:sz w:val="22"/>
          <w:szCs w:val="22"/>
        </w:rPr>
        <w:t xml:space="preserve"> NOIDA</w:t>
      </w:r>
      <w:r w:rsidR="003E0B01" w:rsidRPr="00B64A79">
        <w:rPr>
          <w:rFonts w:ascii="Times New Roman" w:hAnsi="Times New Roman" w:cs="Times New Roman"/>
          <w:i/>
          <w:sz w:val="22"/>
          <w:szCs w:val="22"/>
        </w:rPr>
        <w:t xml:space="preserve">, </w:t>
      </w:r>
      <w:r>
        <w:rPr>
          <w:rFonts w:ascii="Times New Roman" w:hAnsi="Times New Roman" w:cs="Times New Roman"/>
          <w:i/>
          <w:sz w:val="22"/>
          <w:szCs w:val="22"/>
        </w:rPr>
        <w:t>India</w:t>
      </w:r>
    </w:p>
    <w:p w:rsidR="00B64A79" w:rsidRDefault="00B64A79" w:rsidP="00B64A79">
      <w:pPr>
        <w:rPr>
          <w:rFonts w:ascii="Times New Roman" w:hAnsi="Times New Roman" w:cs="Times New Roman"/>
          <w:sz w:val="22"/>
          <w:szCs w:val="22"/>
        </w:rPr>
      </w:pPr>
    </w:p>
    <w:p w:rsidR="00B64A79" w:rsidRPr="00B64A79" w:rsidRDefault="007F355E" w:rsidP="00B64A79">
      <w:pPr>
        <w:jc w:val="center"/>
        <w:rPr>
          <w:rFonts w:ascii="Times New Roman" w:hAnsi="Times New Roman" w:cs="Times New Roman"/>
          <w:i/>
          <w:sz w:val="22"/>
          <w:szCs w:val="22"/>
        </w:rPr>
      </w:pPr>
      <w:r>
        <w:rPr>
          <w:rFonts w:ascii="Times New Roman" w:hAnsi="Times New Roman" w:cs="Times New Roman"/>
          <w:i/>
          <w:sz w:val="22"/>
          <w:szCs w:val="22"/>
        </w:rPr>
        <w:t>abhijit</w:t>
      </w:r>
      <w:r w:rsidR="00B64A79" w:rsidRPr="00B64A79">
        <w:rPr>
          <w:rFonts w:ascii="Times New Roman" w:hAnsi="Times New Roman" w:cs="Times New Roman"/>
          <w:i/>
          <w:sz w:val="22"/>
          <w:szCs w:val="22"/>
        </w:rPr>
        <w:t>@</w:t>
      </w:r>
      <w:r>
        <w:rPr>
          <w:rFonts w:ascii="Times New Roman" w:hAnsi="Times New Roman" w:cs="Times New Roman"/>
          <w:i/>
          <w:sz w:val="22"/>
          <w:szCs w:val="22"/>
        </w:rPr>
        <w:t>ncmrwf.gov.in</w:t>
      </w:r>
    </w:p>
    <w:p w:rsidR="00B64A79" w:rsidRPr="00B64A79" w:rsidRDefault="00B64A79" w:rsidP="00B64A79">
      <w:pPr>
        <w:rPr>
          <w:rFonts w:ascii="Times New Roman" w:hAnsi="Times New Roman" w:cs="Times New Roman"/>
          <w:i/>
          <w:sz w:val="22"/>
          <w:szCs w:val="22"/>
        </w:rPr>
      </w:pPr>
    </w:p>
    <w:p w:rsidR="00613605" w:rsidRDefault="00613605" w:rsidP="00B64A79">
      <w:pPr>
        <w:rPr>
          <w:rFonts w:ascii="Arial" w:hAnsi="Arial"/>
          <w:b/>
          <w:sz w:val="28"/>
          <w:szCs w:val="28"/>
        </w:rPr>
      </w:pPr>
    </w:p>
    <w:p w:rsidR="001822A7" w:rsidRPr="00AE7870" w:rsidRDefault="00BE31C3" w:rsidP="001822A7">
      <w:pPr>
        <w:tabs>
          <w:tab w:val="num" w:pos="720"/>
        </w:tabs>
        <w:spacing w:line="360" w:lineRule="auto"/>
        <w:jc w:val="both"/>
        <w:rPr>
          <w:rFonts w:ascii="Times New Roman" w:hAnsi="Times New Roman" w:cs="Times New Roman"/>
          <w:sz w:val="22"/>
          <w:szCs w:val="22"/>
        </w:rPr>
      </w:pPr>
      <w:r w:rsidRPr="00AE7870">
        <w:rPr>
          <w:rFonts w:ascii="Times New Roman" w:hAnsi="Times New Roman" w:cs="Times New Roman"/>
          <w:sz w:val="22"/>
          <w:szCs w:val="22"/>
        </w:rPr>
        <w:t xml:space="preserve">National Centre for Medium range Weather Forecasting (NCMRWF), India has been running global ensemble prediction system (NEPS) based on Met Office Global and Regional Ensemble Prediction System (MOGREPS-G) since October, 2015. This ensemble system has been updated recently and the updated version </w:t>
      </w:r>
      <w:r w:rsidR="002B41E8" w:rsidRPr="00AE7870">
        <w:rPr>
          <w:rFonts w:ascii="Times New Roman" w:hAnsi="Times New Roman" w:cs="Times New Roman"/>
          <w:sz w:val="22"/>
          <w:szCs w:val="22"/>
        </w:rPr>
        <w:t xml:space="preserve">was </w:t>
      </w:r>
      <w:r w:rsidR="00AC63BD">
        <w:rPr>
          <w:rFonts w:ascii="Times New Roman" w:hAnsi="Times New Roman" w:cs="Times New Roman"/>
          <w:sz w:val="22"/>
          <w:szCs w:val="22"/>
        </w:rPr>
        <w:t xml:space="preserve">made </w:t>
      </w:r>
      <w:r w:rsidRPr="00AE7870">
        <w:rPr>
          <w:rFonts w:ascii="Times New Roman" w:hAnsi="Times New Roman" w:cs="Times New Roman"/>
          <w:sz w:val="22"/>
          <w:szCs w:val="22"/>
        </w:rPr>
        <w:t xml:space="preserve">operational </w:t>
      </w:r>
      <w:r w:rsidR="002B41E8" w:rsidRPr="00AE7870">
        <w:rPr>
          <w:rFonts w:ascii="Times New Roman" w:hAnsi="Times New Roman" w:cs="Times New Roman"/>
          <w:sz w:val="22"/>
          <w:szCs w:val="22"/>
        </w:rPr>
        <w:t>on</w:t>
      </w:r>
      <w:r w:rsidRPr="00AE7870">
        <w:rPr>
          <w:rFonts w:ascii="Times New Roman" w:hAnsi="Times New Roman" w:cs="Times New Roman"/>
          <w:sz w:val="22"/>
          <w:szCs w:val="22"/>
        </w:rPr>
        <w:t xml:space="preserve"> 1 June, 2018. Previous versi</w:t>
      </w:r>
      <w:r w:rsidR="002B41E8" w:rsidRPr="00AE7870">
        <w:rPr>
          <w:rFonts w:ascii="Times New Roman" w:hAnsi="Times New Roman" w:cs="Times New Roman"/>
          <w:sz w:val="22"/>
          <w:szCs w:val="22"/>
        </w:rPr>
        <w:t xml:space="preserve">on of </w:t>
      </w:r>
      <w:r w:rsidRPr="00AE7870">
        <w:rPr>
          <w:rFonts w:ascii="Times New Roman" w:hAnsi="Times New Roman" w:cs="Times New Roman"/>
          <w:sz w:val="22"/>
          <w:szCs w:val="22"/>
        </w:rPr>
        <w:t xml:space="preserve">NEPS had horizontal resolution of 33 km and ensemble size of 45 (44 perturbed + 1 control) members. The horizontal resolution of the current operational NEPS has been increased to 12 km. The initial condition perturbations of this ensemble prediction system are generated by Ensemble Transform </w:t>
      </w:r>
      <w:proofErr w:type="spellStart"/>
      <w:r w:rsidRPr="00AE7870">
        <w:rPr>
          <w:rFonts w:ascii="Times New Roman" w:hAnsi="Times New Roman" w:cs="Times New Roman"/>
          <w:sz w:val="22"/>
          <w:szCs w:val="22"/>
        </w:rPr>
        <w:t>Kalman</w:t>
      </w:r>
      <w:proofErr w:type="spellEnd"/>
      <w:r w:rsidRPr="00AE7870">
        <w:rPr>
          <w:rFonts w:ascii="Times New Roman" w:hAnsi="Times New Roman" w:cs="Times New Roman"/>
          <w:sz w:val="22"/>
          <w:szCs w:val="22"/>
        </w:rPr>
        <w:t xml:space="preserve"> Filter (ETKF) method</w:t>
      </w:r>
      <w:r w:rsidR="00253FF4">
        <w:rPr>
          <w:rFonts w:ascii="Times New Roman" w:hAnsi="Times New Roman" w:cs="Times New Roman"/>
          <w:sz w:val="22"/>
          <w:szCs w:val="22"/>
        </w:rPr>
        <w:t xml:space="preserve"> </w:t>
      </w:r>
      <w:r w:rsidR="00253FF4" w:rsidRPr="00253FF4">
        <w:rPr>
          <w:rFonts w:ascii="Times New Roman" w:hAnsi="Times New Roman" w:cs="Times New Roman"/>
          <w:color w:val="000000" w:themeColor="text1"/>
          <w:sz w:val="22"/>
          <w:szCs w:val="22"/>
        </w:rPr>
        <w:t>(</w:t>
      </w:r>
      <w:r w:rsidR="00253FF4" w:rsidRPr="00A4234B">
        <w:rPr>
          <w:rFonts w:ascii="Times New Roman" w:hAnsi="Times New Roman" w:cs="Times New Roman"/>
          <w:sz w:val="22"/>
          <w:szCs w:val="22"/>
        </w:rPr>
        <w:t>Bowler et al., 2009)</w:t>
      </w:r>
      <w:r w:rsidRPr="00AE7870">
        <w:rPr>
          <w:rFonts w:ascii="Times New Roman" w:hAnsi="Times New Roman" w:cs="Times New Roman"/>
          <w:sz w:val="22"/>
          <w:szCs w:val="22"/>
        </w:rPr>
        <w:t xml:space="preserve"> and model uncertainties are taken care by the Stochastic Kinetic</w:t>
      </w:r>
      <w:r w:rsidR="00AC63BD">
        <w:rPr>
          <w:rFonts w:ascii="Times New Roman" w:hAnsi="Times New Roman" w:cs="Times New Roman"/>
          <w:sz w:val="22"/>
          <w:szCs w:val="22"/>
        </w:rPr>
        <w:t xml:space="preserve"> Energy Backscatter and Random P</w:t>
      </w:r>
      <w:r w:rsidRPr="00AE7870">
        <w:rPr>
          <w:rFonts w:ascii="Times New Roman" w:hAnsi="Times New Roman" w:cs="Times New Roman"/>
          <w:sz w:val="22"/>
          <w:szCs w:val="22"/>
        </w:rPr>
        <w:t>arameters schemes</w:t>
      </w:r>
      <w:r w:rsidR="00253FF4">
        <w:rPr>
          <w:rFonts w:ascii="Times New Roman" w:hAnsi="Times New Roman" w:cs="Times New Roman"/>
          <w:sz w:val="22"/>
          <w:szCs w:val="22"/>
        </w:rPr>
        <w:t xml:space="preserve"> </w:t>
      </w:r>
      <w:r w:rsidR="00253FF4" w:rsidRPr="00A4234B">
        <w:rPr>
          <w:rFonts w:ascii="Times New Roman" w:hAnsi="Times New Roman" w:cs="Times New Roman"/>
          <w:sz w:val="22"/>
          <w:szCs w:val="22"/>
        </w:rPr>
        <w:t>(Tennant et al., 2011)</w:t>
      </w:r>
      <w:r w:rsidRPr="00AE7870">
        <w:rPr>
          <w:rFonts w:ascii="Times New Roman" w:hAnsi="Times New Roman" w:cs="Times New Roman"/>
          <w:sz w:val="22"/>
          <w:szCs w:val="22"/>
        </w:rPr>
        <w:t>.</w:t>
      </w:r>
      <w:r w:rsidR="001822A7" w:rsidRPr="00AE7870">
        <w:rPr>
          <w:rFonts w:ascii="Times New Roman" w:hAnsi="Times New Roman" w:cs="Times New Roman"/>
          <w:sz w:val="22"/>
          <w:szCs w:val="22"/>
        </w:rPr>
        <w:t xml:space="preserve"> The forecast perturbations obtained from 6 hour short forecast run of 22 ensemble members are updated by ETKF four times a day (00, 06, 12 and 18 UTC). </w:t>
      </w:r>
      <w:r w:rsidR="00AE7870" w:rsidRPr="00AE7870">
        <w:rPr>
          <w:rFonts w:ascii="Times New Roman" w:hAnsi="Times New Roman" w:cs="Times New Roman"/>
          <w:sz w:val="22"/>
          <w:szCs w:val="22"/>
        </w:rPr>
        <w:t>P</w:t>
      </w:r>
      <w:r w:rsidR="001822A7" w:rsidRPr="00AE7870">
        <w:rPr>
          <w:rFonts w:ascii="Times New Roman" w:hAnsi="Times New Roman" w:cs="Times New Roman"/>
          <w:sz w:val="22"/>
          <w:szCs w:val="22"/>
        </w:rPr>
        <w:t xml:space="preserve">erturbations of surface parameters such as sea-surface temperature, soil moisture content and soil temperature </w:t>
      </w:r>
      <w:r w:rsidR="00253FF4" w:rsidRPr="00A4234B">
        <w:rPr>
          <w:rFonts w:ascii="Times New Roman" w:hAnsi="Times New Roman" w:cs="Times New Roman"/>
          <w:sz w:val="22"/>
          <w:szCs w:val="22"/>
        </w:rPr>
        <w:t xml:space="preserve">(Tennant and </w:t>
      </w:r>
      <w:proofErr w:type="spellStart"/>
      <w:r w:rsidR="00253FF4" w:rsidRPr="00A4234B">
        <w:rPr>
          <w:rFonts w:ascii="Times New Roman" w:hAnsi="Times New Roman" w:cs="Times New Roman"/>
          <w:sz w:val="22"/>
          <w:szCs w:val="22"/>
        </w:rPr>
        <w:t>Beare</w:t>
      </w:r>
      <w:proofErr w:type="spellEnd"/>
      <w:r w:rsidR="00253FF4" w:rsidRPr="00A4234B">
        <w:rPr>
          <w:rFonts w:ascii="Times New Roman" w:hAnsi="Times New Roman" w:cs="Times New Roman"/>
          <w:sz w:val="22"/>
          <w:szCs w:val="22"/>
        </w:rPr>
        <w:t>, 2014)</w:t>
      </w:r>
      <w:r w:rsidR="00253FF4">
        <w:rPr>
          <w:rFonts w:ascii="Times New Roman" w:hAnsi="Times New Roman" w:cs="Times New Roman"/>
          <w:sz w:val="22"/>
          <w:szCs w:val="22"/>
        </w:rPr>
        <w:t xml:space="preserve"> </w:t>
      </w:r>
      <w:r w:rsidR="001822A7" w:rsidRPr="00AE7870">
        <w:rPr>
          <w:rFonts w:ascii="Times New Roman" w:hAnsi="Times New Roman" w:cs="Times New Roman"/>
          <w:sz w:val="22"/>
          <w:szCs w:val="22"/>
        </w:rPr>
        <w:t>are included in the 12-km NEPS</w:t>
      </w:r>
      <w:r w:rsidR="002B41E8" w:rsidRPr="00AE7870">
        <w:rPr>
          <w:rFonts w:ascii="Times New Roman" w:hAnsi="Times New Roman" w:cs="Times New Roman"/>
          <w:sz w:val="22"/>
          <w:szCs w:val="22"/>
        </w:rPr>
        <w:t xml:space="preserve"> in order to address the problem of lack of ensemble spread near the surface</w:t>
      </w:r>
      <w:r w:rsidR="001822A7" w:rsidRPr="00AE7870">
        <w:rPr>
          <w:rFonts w:ascii="Times New Roman" w:hAnsi="Times New Roman" w:cs="Times New Roman"/>
          <w:sz w:val="22"/>
          <w:szCs w:val="22"/>
        </w:rPr>
        <w:t xml:space="preserve">. </w:t>
      </w:r>
      <w:r w:rsidR="00605295" w:rsidRPr="00AE7870">
        <w:rPr>
          <w:rFonts w:ascii="Times New Roman" w:hAnsi="Times New Roman" w:cs="Times New Roman"/>
          <w:sz w:val="22"/>
          <w:szCs w:val="22"/>
        </w:rPr>
        <w:t xml:space="preserve">The NEPS aims to provide 10-day probabilistic forecasts using 23 members (22 perturbed + 1 control) ensemble system. </w:t>
      </w:r>
      <w:r w:rsidR="006B11B5" w:rsidRPr="00AE7870">
        <w:rPr>
          <w:rFonts w:ascii="Times New Roman" w:hAnsi="Times New Roman" w:cs="Times New Roman"/>
          <w:sz w:val="22"/>
          <w:szCs w:val="22"/>
        </w:rPr>
        <w:t xml:space="preserve">Out of 22 </w:t>
      </w:r>
      <w:r w:rsidR="00605295" w:rsidRPr="00AE7870">
        <w:rPr>
          <w:rFonts w:ascii="Times New Roman" w:hAnsi="Times New Roman" w:cs="Times New Roman"/>
          <w:sz w:val="22"/>
          <w:szCs w:val="22"/>
        </w:rPr>
        <w:t xml:space="preserve">perturbed </w:t>
      </w:r>
      <w:r w:rsidR="006B11B5" w:rsidRPr="00AE7870">
        <w:rPr>
          <w:rFonts w:ascii="Times New Roman" w:hAnsi="Times New Roman" w:cs="Times New Roman"/>
          <w:sz w:val="22"/>
          <w:szCs w:val="22"/>
        </w:rPr>
        <w:t>ensemble members, one set of eleven</w:t>
      </w:r>
      <w:r w:rsidR="00605295" w:rsidRPr="00AE7870">
        <w:rPr>
          <w:rFonts w:ascii="Times New Roman" w:hAnsi="Times New Roman" w:cs="Times New Roman"/>
          <w:sz w:val="22"/>
          <w:szCs w:val="22"/>
        </w:rPr>
        <w:t xml:space="preserve"> members</w:t>
      </w:r>
      <w:r w:rsidR="006B11B5" w:rsidRPr="00AE7870">
        <w:rPr>
          <w:rFonts w:ascii="Times New Roman" w:hAnsi="Times New Roman" w:cs="Times New Roman"/>
          <w:sz w:val="22"/>
          <w:szCs w:val="22"/>
        </w:rPr>
        <w:t xml:space="preserve"> run from 00 UTC of current day and the other set of 11 members run from 12 UTC of previous da</w:t>
      </w:r>
      <w:r w:rsidR="00605295" w:rsidRPr="00AE7870">
        <w:rPr>
          <w:rFonts w:ascii="Times New Roman" w:hAnsi="Times New Roman" w:cs="Times New Roman"/>
          <w:sz w:val="22"/>
          <w:szCs w:val="22"/>
        </w:rPr>
        <w:t>y to provide ensemble</w:t>
      </w:r>
      <w:r w:rsidR="006B11B5" w:rsidRPr="00AE7870">
        <w:rPr>
          <w:rFonts w:ascii="Times New Roman" w:hAnsi="Times New Roman" w:cs="Times New Roman"/>
          <w:sz w:val="22"/>
          <w:szCs w:val="22"/>
        </w:rPr>
        <w:t xml:space="preserve"> forecast of 10 days.</w:t>
      </w:r>
      <w:r w:rsidR="00605295" w:rsidRPr="00AE7870">
        <w:rPr>
          <w:rFonts w:ascii="Times New Roman" w:hAnsi="Times New Roman" w:cs="Times New Roman"/>
          <w:sz w:val="22"/>
          <w:szCs w:val="22"/>
        </w:rPr>
        <w:t xml:space="preserve"> The operational deterministic forecast running</w:t>
      </w:r>
      <w:r w:rsidR="00AC63BD">
        <w:rPr>
          <w:rFonts w:ascii="Times New Roman" w:hAnsi="Times New Roman" w:cs="Times New Roman"/>
          <w:sz w:val="22"/>
          <w:szCs w:val="22"/>
        </w:rPr>
        <w:t xml:space="preserve"> at 12 km resolution</w:t>
      </w:r>
      <w:r w:rsidR="00605295" w:rsidRPr="00AE7870">
        <w:rPr>
          <w:rFonts w:ascii="Times New Roman" w:hAnsi="Times New Roman" w:cs="Times New Roman"/>
          <w:sz w:val="22"/>
          <w:szCs w:val="22"/>
        </w:rPr>
        <w:t xml:space="preserve"> from 00 UTC is used as the control forecast.</w:t>
      </w:r>
      <w:r w:rsidR="006B11B5" w:rsidRPr="00AE7870">
        <w:rPr>
          <w:rFonts w:ascii="Times New Roman" w:hAnsi="Times New Roman" w:cs="Times New Roman"/>
          <w:sz w:val="22"/>
          <w:szCs w:val="22"/>
        </w:rPr>
        <w:t xml:space="preserve"> </w:t>
      </w:r>
    </w:p>
    <w:p w:rsidR="006B11B5" w:rsidRPr="00AE7870" w:rsidRDefault="006B11B5" w:rsidP="00DF1EB3">
      <w:pPr>
        <w:tabs>
          <w:tab w:val="num" w:pos="720"/>
        </w:tabs>
        <w:spacing w:line="360" w:lineRule="auto"/>
        <w:jc w:val="both"/>
        <w:rPr>
          <w:rFonts w:ascii="Times New Roman" w:hAnsi="Times New Roman" w:cs="Times New Roman"/>
          <w:sz w:val="22"/>
          <w:szCs w:val="22"/>
        </w:rPr>
      </w:pPr>
    </w:p>
    <w:p w:rsidR="00E1134A" w:rsidRPr="000B454C" w:rsidRDefault="00605295" w:rsidP="00DF1EB3">
      <w:pPr>
        <w:tabs>
          <w:tab w:val="num" w:pos="720"/>
        </w:tabs>
        <w:spacing w:line="360" w:lineRule="auto"/>
        <w:jc w:val="both"/>
        <w:rPr>
          <w:rFonts w:ascii="Times New Roman" w:hAnsi="Times New Roman" w:cs="Times New Roman"/>
          <w:color w:val="0070C0"/>
          <w:sz w:val="22"/>
          <w:szCs w:val="22"/>
        </w:rPr>
      </w:pPr>
      <w:r w:rsidRPr="00AE7870">
        <w:rPr>
          <w:rFonts w:ascii="Times New Roman" w:hAnsi="Times New Roman" w:cs="Times New Roman"/>
          <w:color w:val="000000" w:themeColor="text1"/>
          <w:sz w:val="22"/>
          <w:szCs w:val="22"/>
        </w:rPr>
        <w:t>As</w:t>
      </w:r>
      <w:r w:rsidR="00DF1EB3" w:rsidRPr="00AE7870">
        <w:rPr>
          <w:rFonts w:ascii="Times New Roman" w:hAnsi="Times New Roman" w:cs="Times New Roman"/>
          <w:color w:val="000000" w:themeColor="text1"/>
          <w:sz w:val="22"/>
          <w:szCs w:val="22"/>
        </w:rPr>
        <w:t xml:space="preserve"> 12 km NEPS </w:t>
      </w:r>
      <w:r w:rsidRPr="00AE7870">
        <w:rPr>
          <w:rFonts w:ascii="Times New Roman" w:hAnsi="Times New Roman" w:cs="Times New Roman"/>
          <w:color w:val="000000" w:themeColor="text1"/>
          <w:sz w:val="22"/>
          <w:szCs w:val="22"/>
        </w:rPr>
        <w:t>is implemented first time in NCMRWF, initial condition</w:t>
      </w:r>
      <w:r w:rsidR="00DF1EB3" w:rsidRPr="00AE7870">
        <w:rPr>
          <w:rFonts w:ascii="Times New Roman" w:hAnsi="Times New Roman" w:cs="Times New Roman"/>
          <w:color w:val="000000" w:themeColor="text1"/>
          <w:sz w:val="22"/>
          <w:szCs w:val="22"/>
        </w:rPr>
        <w:t xml:space="preserve"> perturbations were not available at </w:t>
      </w:r>
      <w:r w:rsidRPr="00AE7870">
        <w:rPr>
          <w:rFonts w:ascii="Times New Roman" w:hAnsi="Times New Roman" w:cs="Times New Roman"/>
          <w:color w:val="000000" w:themeColor="text1"/>
          <w:sz w:val="22"/>
          <w:szCs w:val="22"/>
        </w:rPr>
        <w:t>this resolution. Therefore, ensemble</w:t>
      </w:r>
      <w:r w:rsidR="00DF1EB3" w:rsidRPr="00AE7870">
        <w:rPr>
          <w:rFonts w:ascii="Times New Roman" w:hAnsi="Times New Roman" w:cs="Times New Roman"/>
          <w:color w:val="000000" w:themeColor="text1"/>
          <w:sz w:val="22"/>
          <w:szCs w:val="22"/>
        </w:rPr>
        <w:t xml:space="preserve"> members</w:t>
      </w:r>
      <w:r w:rsidR="00E1134A" w:rsidRPr="00AE7870">
        <w:rPr>
          <w:rFonts w:ascii="Times New Roman" w:hAnsi="Times New Roman" w:cs="Times New Roman"/>
          <w:color w:val="000000" w:themeColor="text1"/>
          <w:sz w:val="22"/>
          <w:szCs w:val="22"/>
        </w:rPr>
        <w:t xml:space="preserve"> with perturbed model physics </w:t>
      </w:r>
      <w:r w:rsidR="00DF1EB3" w:rsidRPr="00AE7870">
        <w:rPr>
          <w:rFonts w:ascii="Times New Roman" w:hAnsi="Times New Roman" w:cs="Times New Roman"/>
          <w:color w:val="000000" w:themeColor="text1"/>
          <w:sz w:val="22"/>
          <w:szCs w:val="22"/>
        </w:rPr>
        <w:t xml:space="preserve">were cold-started </w:t>
      </w:r>
      <w:r w:rsidR="00E1134A" w:rsidRPr="00AE7870">
        <w:rPr>
          <w:rFonts w:ascii="Times New Roman" w:hAnsi="Times New Roman" w:cs="Times New Roman"/>
          <w:color w:val="000000" w:themeColor="text1"/>
          <w:sz w:val="22"/>
          <w:szCs w:val="22"/>
        </w:rPr>
        <w:t>from the same initial condition (analysis of deterministic model)</w:t>
      </w:r>
      <w:r w:rsidR="00DF1EB3" w:rsidRPr="00AE7870">
        <w:rPr>
          <w:rFonts w:ascii="Times New Roman" w:hAnsi="Times New Roman" w:cs="Times New Roman"/>
          <w:color w:val="000000" w:themeColor="text1"/>
          <w:sz w:val="22"/>
          <w:szCs w:val="22"/>
        </w:rPr>
        <w:t>. The resul</w:t>
      </w:r>
      <w:r w:rsidR="00E1134A" w:rsidRPr="00AE7870">
        <w:rPr>
          <w:rFonts w:ascii="Times New Roman" w:hAnsi="Times New Roman" w:cs="Times New Roman"/>
          <w:color w:val="000000" w:themeColor="text1"/>
          <w:sz w:val="22"/>
          <w:szCs w:val="22"/>
        </w:rPr>
        <w:t>ts of experiments indicate</w:t>
      </w:r>
      <w:r w:rsidR="00DF1EB3" w:rsidRPr="00AE7870">
        <w:rPr>
          <w:rFonts w:ascii="Times New Roman" w:hAnsi="Times New Roman" w:cs="Times New Roman"/>
          <w:color w:val="000000" w:themeColor="text1"/>
          <w:sz w:val="22"/>
          <w:szCs w:val="22"/>
        </w:rPr>
        <w:t xml:space="preserve"> that </w:t>
      </w:r>
      <w:r w:rsidR="00E1134A" w:rsidRPr="00AE7870">
        <w:rPr>
          <w:rFonts w:ascii="Times New Roman" w:hAnsi="Times New Roman" w:cs="Times New Roman"/>
          <w:color w:val="000000" w:themeColor="text1"/>
          <w:sz w:val="22"/>
          <w:szCs w:val="22"/>
        </w:rPr>
        <w:t xml:space="preserve">the spread of the cold started ensemble members </w:t>
      </w:r>
      <w:r w:rsidR="00DF1EB3" w:rsidRPr="00AE7870">
        <w:rPr>
          <w:rFonts w:ascii="Times New Roman" w:hAnsi="Times New Roman" w:cs="Times New Roman"/>
          <w:color w:val="000000" w:themeColor="text1"/>
          <w:sz w:val="22"/>
          <w:szCs w:val="22"/>
        </w:rPr>
        <w:t>becomes nearly equal to the operational NEPS ensemble spread</w:t>
      </w:r>
      <w:r w:rsidR="00E1134A" w:rsidRPr="00AE7870">
        <w:rPr>
          <w:rFonts w:ascii="Times New Roman" w:hAnsi="Times New Roman" w:cs="Times New Roman"/>
          <w:color w:val="000000" w:themeColor="text1"/>
          <w:sz w:val="22"/>
          <w:szCs w:val="22"/>
        </w:rPr>
        <w:t xml:space="preserve"> after 15-16 short forecast cycles.</w:t>
      </w:r>
      <w:r w:rsidR="00EE18A4">
        <w:rPr>
          <w:rFonts w:ascii="Times New Roman" w:hAnsi="Times New Roman" w:cs="Times New Roman"/>
          <w:color w:val="000000" w:themeColor="text1"/>
          <w:sz w:val="22"/>
          <w:szCs w:val="22"/>
        </w:rPr>
        <w:t xml:space="preserve"> </w:t>
      </w:r>
      <w:r w:rsidR="00EE18A4" w:rsidRPr="00A4234B">
        <w:rPr>
          <w:rFonts w:ascii="Times New Roman" w:hAnsi="Times New Roman" w:cs="Times New Roman"/>
          <w:sz w:val="22"/>
          <w:szCs w:val="22"/>
        </w:rPr>
        <w:t xml:space="preserve">Figure 1 shows that spread in specific humidity at 5600 m height of 17km NEPS takes about 16 </w:t>
      </w:r>
      <w:r w:rsidR="00147289" w:rsidRPr="00A4234B">
        <w:rPr>
          <w:rFonts w:ascii="Times New Roman" w:hAnsi="Times New Roman" w:cs="Times New Roman"/>
          <w:sz w:val="22"/>
          <w:szCs w:val="22"/>
        </w:rPr>
        <w:t>short forecast</w:t>
      </w:r>
      <w:r w:rsidR="00EE18A4" w:rsidRPr="00A4234B">
        <w:rPr>
          <w:rFonts w:ascii="Times New Roman" w:hAnsi="Times New Roman" w:cs="Times New Roman"/>
          <w:sz w:val="22"/>
          <w:szCs w:val="22"/>
        </w:rPr>
        <w:t xml:space="preserve"> cycles to become nearly equal to that of the operational 33 km NEPS.</w:t>
      </w:r>
      <w:r w:rsidR="000B454C" w:rsidRPr="00A4234B">
        <w:rPr>
          <w:rFonts w:ascii="Times New Roman" w:hAnsi="Times New Roman" w:cs="Times New Roman"/>
          <w:sz w:val="22"/>
          <w:szCs w:val="22"/>
        </w:rPr>
        <w:t xml:space="preserve"> A </w:t>
      </w:r>
      <w:r w:rsidR="00147289" w:rsidRPr="00A4234B">
        <w:rPr>
          <w:rFonts w:ascii="Times New Roman" w:hAnsi="Times New Roman" w:cs="Times New Roman"/>
          <w:sz w:val="22"/>
          <w:szCs w:val="22"/>
        </w:rPr>
        <w:t>tech</w:t>
      </w:r>
      <w:r w:rsidR="000B454C" w:rsidRPr="00A4234B">
        <w:rPr>
          <w:rFonts w:ascii="Times New Roman" w:hAnsi="Times New Roman" w:cs="Times New Roman"/>
          <w:sz w:val="22"/>
          <w:szCs w:val="22"/>
        </w:rPr>
        <w:t>n</w:t>
      </w:r>
      <w:r w:rsidR="00147289" w:rsidRPr="00A4234B">
        <w:rPr>
          <w:rFonts w:ascii="Times New Roman" w:hAnsi="Times New Roman" w:cs="Times New Roman"/>
          <w:sz w:val="22"/>
          <w:szCs w:val="22"/>
        </w:rPr>
        <w:t>ic</w:t>
      </w:r>
      <w:r w:rsidR="000B454C" w:rsidRPr="00A4234B">
        <w:rPr>
          <w:rFonts w:ascii="Times New Roman" w:hAnsi="Times New Roman" w:cs="Times New Roman"/>
          <w:sz w:val="22"/>
          <w:szCs w:val="22"/>
        </w:rPr>
        <w:t xml:space="preserve">al report by </w:t>
      </w:r>
      <w:proofErr w:type="spellStart"/>
      <w:r w:rsidR="000B454C" w:rsidRPr="00A4234B">
        <w:rPr>
          <w:rFonts w:ascii="Times New Roman" w:hAnsi="Times New Roman" w:cs="Times New Roman"/>
          <w:sz w:val="22"/>
          <w:szCs w:val="22"/>
        </w:rPr>
        <w:t>Mamgain</w:t>
      </w:r>
      <w:proofErr w:type="spellEnd"/>
      <w:r w:rsidR="000B454C" w:rsidRPr="00A4234B">
        <w:rPr>
          <w:rFonts w:ascii="Times New Roman" w:hAnsi="Times New Roman" w:cs="Times New Roman"/>
          <w:sz w:val="22"/>
          <w:szCs w:val="22"/>
        </w:rPr>
        <w:t xml:space="preserve"> et al., 2018 describes in detail the operational implementation of this high resolution EPS at NCMRWF.</w:t>
      </w:r>
    </w:p>
    <w:p w:rsidR="00AE7870" w:rsidRPr="00AE7870" w:rsidRDefault="00AE7870" w:rsidP="00DF1EB3">
      <w:pPr>
        <w:tabs>
          <w:tab w:val="num" w:pos="720"/>
        </w:tabs>
        <w:spacing w:line="360" w:lineRule="auto"/>
        <w:jc w:val="both"/>
        <w:rPr>
          <w:rFonts w:ascii="Times New Roman" w:hAnsi="Times New Roman" w:cs="Times New Roman"/>
          <w:color w:val="000000" w:themeColor="text1"/>
          <w:sz w:val="22"/>
          <w:szCs w:val="22"/>
        </w:rPr>
      </w:pPr>
    </w:p>
    <w:p w:rsidR="00E1134A" w:rsidRPr="00AE7870" w:rsidRDefault="00E1134A" w:rsidP="00AE7870">
      <w:pPr>
        <w:tabs>
          <w:tab w:val="num" w:pos="720"/>
        </w:tabs>
        <w:spacing w:line="360" w:lineRule="auto"/>
        <w:jc w:val="both"/>
        <w:rPr>
          <w:rFonts w:ascii="Times New Roman" w:hAnsi="Times New Roman" w:cs="Times New Roman"/>
          <w:sz w:val="22"/>
          <w:szCs w:val="22"/>
        </w:rPr>
      </w:pPr>
      <w:r w:rsidRPr="00AE7870">
        <w:rPr>
          <w:rFonts w:ascii="Times New Roman" w:hAnsi="Times New Roman" w:cs="Times New Roman"/>
          <w:color w:val="000000" w:themeColor="text1"/>
          <w:sz w:val="22"/>
          <w:szCs w:val="22"/>
        </w:rPr>
        <w:lastRenderedPageBreak/>
        <w:t xml:space="preserve">Both the </w:t>
      </w:r>
      <w:r w:rsidR="00AC63BD">
        <w:rPr>
          <w:rFonts w:ascii="Times New Roman" w:hAnsi="Times New Roman" w:cs="Times New Roman"/>
          <w:color w:val="000000" w:themeColor="text1"/>
          <w:sz w:val="22"/>
          <w:szCs w:val="22"/>
        </w:rPr>
        <w:t>33</w:t>
      </w:r>
      <w:r w:rsidRPr="00AE7870">
        <w:rPr>
          <w:rFonts w:ascii="Times New Roman" w:hAnsi="Times New Roman" w:cs="Times New Roman"/>
          <w:color w:val="000000" w:themeColor="text1"/>
          <w:sz w:val="22"/>
          <w:szCs w:val="22"/>
        </w:rPr>
        <w:t xml:space="preserve"> km and 12</w:t>
      </w:r>
      <w:r w:rsidR="00AC63BD">
        <w:rPr>
          <w:rFonts w:ascii="Times New Roman" w:hAnsi="Times New Roman" w:cs="Times New Roman"/>
          <w:color w:val="000000" w:themeColor="text1"/>
          <w:sz w:val="22"/>
          <w:szCs w:val="22"/>
        </w:rPr>
        <w:t xml:space="preserve"> km NEPS</w:t>
      </w:r>
      <w:r w:rsidR="00AE7870" w:rsidRPr="00AE7870">
        <w:rPr>
          <w:rFonts w:ascii="Times New Roman" w:hAnsi="Times New Roman" w:cs="Times New Roman"/>
          <w:color w:val="000000" w:themeColor="text1"/>
          <w:sz w:val="22"/>
          <w:szCs w:val="22"/>
        </w:rPr>
        <w:t xml:space="preserve"> were operational during 1</w:t>
      </w:r>
      <w:r w:rsidR="00AE7870" w:rsidRPr="00AE7870">
        <w:rPr>
          <w:rFonts w:ascii="Times New Roman" w:hAnsi="Times New Roman" w:cs="Times New Roman"/>
          <w:color w:val="000000" w:themeColor="text1"/>
          <w:sz w:val="22"/>
          <w:szCs w:val="22"/>
          <w:vertAlign w:val="superscript"/>
        </w:rPr>
        <w:t>st</w:t>
      </w:r>
      <w:r w:rsidR="00AE7870" w:rsidRPr="00AE7870">
        <w:rPr>
          <w:rFonts w:ascii="Times New Roman" w:hAnsi="Times New Roman" w:cs="Times New Roman"/>
          <w:color w:val="000000" w:themeColor="text1"/>
          <w:sz w:val="22"/>
          <w:szCs w:val="22"/>
        </w:rPr>
        <w:t xml:space="preserve"> June 2018 to 16</w:t>
      </w:r>
      <w:r w:rsidR="00AE7870" w:rsidRPr="00AE7870">
        <w:rPr>
          <w:rFonts w:ascii="Times New Roman" w:hAnsi="Times New Roman" w:cs="Times New Roman"/>
          <w:color w:val="000000" w:themeColor="text1"/>
          <w:sz w:val="22"/>
          <w:szCs w:val="22"/>
          <w:vertAlign w:val="superscript"/>
        </w:rPr>
        <w:t>th</w:t>
      </w:r>
      <w:r w:rsidR="00AE7870" w:rsidRPr="00AE7870">
        <w:rPr>
          <w:rFonts w:ascii="Times New Roman" w:hAnsi="Times New Roman" w:cs="Times New Roman"/>
          <w:color w:val="000000" w:themeColor="text1"/>
          <w:sz w:val="22"/>
          <w:szCs w:val="22"/>
        </w:rPr>
        <w:t xml:space="preserve"> July 2018</w:t>
      </w:r>
      <w:r w:rsidRPr="00AE7870">
        <w:rPr>
          <w:rFonts w:ascii="Times New Roman" w:hAnsi="Times New Roman" w:cs="Times New Roman"/>
          <w:color w:val="000000" w:themeColor="text1"/>
          <w:sz w:val="22"/>
          <w:szCs w:val="22"/>
        </w:rPr>
        <w:t>. A comparative study has b</w:t>
      </w:r>
      <w:r w:rsidR="0043295A" w:rsidRPr="00AE7870">
        <w:rPr>
          <w:rFonts w:ascii="Times New Roman" w:hAnsi="Times New Roman" w:cs="Times New Roman"/>
          <w:color w:val="000000" w:themeColor="text1"/>
          <w:sz w:val="22"/>
          <w:szCs w:val="22"/>
        </w:rPr>
        <w:t>een carried out to</w:t>
      </w:r>
      <w:r w:rsidR="0043295A" w:rsidRPr="00AE7870">
        <w:rPr>
          <w:rFonts w:ascii="Times New Roman" w:hAnsi="Times New Roman" w:cs="Times New Roman"/>
          <w:sz w:val="22"/>
          <w:szCs w:val="22"/>
        </w:rPr>
        <w:t xml:space="preserve"> investigate the improvement in model performance due to the change in NEPS configuration</w:t>
      </w:r>
      <w:r w:rsidR="00AE7870" w:rsidRPr="00AE7870">
        <w:rPr>
          <w:rFonts w:ascii="Times New Roman" w:hAnsi="Times New Roman" w:cs="Times New Roman"/>
          <w:sz w:val="22"/>
          <w:szCs w:val="22"/>
        </w:rPr>
        <w:t xml:space="preserve"> based on the forecasts by both the systems during this period</w:t>
      </w:r>
      <w:r w:rsidR="0043295A" w:rsidRPr="00AE7870">
        <w:rPr>
          <w:rFonts w:ascii="Times New Roman" w:hAnsi="Times New Roman" w:cs="Times New Roman"/>
          <w:sz w:val="22"/>
          <w:szCs w:val="22"/>
        </w:rPr>
        <w:t>. The study has been conducted for both the hemisphere</w:t>
      </w:r>
      <w:r w:rsidR="0078522F">
        <w:rPr>
          <w:rFonts w:ascii="Times New Roman" w:hAnsi="Times New Roman" w:cs="Times New Roman"/>
          <w:sz w:val="22"/>
          <w:szCs w:val="22"/>
        </w:rPr>
        <w:t>s</w:t>
      </w:r>
      <w:r w:rsidR="0043295A" w:rsidRPr="00AE7870">
        <w:rPr>
          <w:rFonts w:ascii="Times New Roman" w:hAnsi="Times New Roman" w:cs="Times New Roman"/>
          <w:sz w:val="22"/>
          <w:szCs w:val="22"/>
        </w:rPr>
        <w:t xml:space="preserve"> of the globe as well as</w:t>
      </w:r>
      <w:r w:rsidR="00AE7870" w:rsidRPr="00AE7870">
        <w:rPr>
          <w:rFonts w:ascii="Times New Roman" w:hAnsi="Times New Roman" w:cs="Times New Roman"/>
          <w:sz w:val="22"/>
          <w:szCs w:val="22"/>
        </w:rPr>
        <w:t xml:space="preserve"> for the tropical region</w:t>
      </w:r>
      <w:r w:rsidR="0043295A" w:rsidRPr="00AE7870">
        <w:rPr>
          <w:rFonts w:ascii="Times New Roman" w:hAnsi="Times New Roman" w:cs="Times New Roman"/>
          <w:sz w:val="22"/>
          <w:szCs w:val="22"/>
        </w:rPr>
        <w:t xml:space="preserve"> separately. The relationship between root mean square error and ensemble spread with forecast lead time has been compared for both the systems. The verification of probabilistic forecasts from both </w:t>
      </w:r>
      <w:r w:rsidR="003566E1" w:rsidRPr="00AE7870">
        <w:rPr>
          <w:rFonts w:ascii="Times New Roman" w:hAnsi="Times New Roman" w:cs="Times New Roman"/>
          <w:sz w:val="22"/>
          <w:szCs w:val="22"/>
        </w:rPr>
        <w:t>the systems</w:t>
      </w:r>
      <w:r w:rsidR="0043295A" w:rsidRPr="00AE7870">
        <w:rPr>
          <w:rFonts w:ascii="Times New Roman" w:hAnsi="Times New Roman" w:cs="Times New Roman"/>
          <w:sz w:val="22"/>
          <w:szCs w:val="22"/>
        </w:rPr>
        <w:t xml:space="preserve"> is carried out by testing the reliability, consistency and accuracy of the prediction system. The ability of the NEPS to discriminate the situations leading to occurrence and non occurrence of events has also been investigated</w:t>
      </w:r>
      <w:r w:rsidR="003566E1" w:rsidRPr="00AE7870">
        <w:rPr>
          <w:rFonts w:ascii="Times New Roman" w:hAnsi="Times New Roman" w:cs="Times New Roman"/>
          <w:sz w:val="22"/>
          <w:szCs w:val="22"/>
        </w:rPr>
        <w:t xml:space="preserve">. </w:t>
      </w:r>
    </w:p>
    <w:p w:rsidR="00E22761" w:rsidRDefault="003566E1" w:rsidP="00CC4323">
      <w:pPr>
        <w:tabs>
          <w:tab w:val="num" w:pos="720"/>
        </w:tabs>
        <w:spacing w:line="360" w:lineRule="auto"/>
        <w:jc w:val="both"/>
      </w:pPr>
      <w:r w:rsidRPr="00AE7870">
        <w:rPr>
          <w:rFonts w:ascii="Times New Roman" w:hAnsi="Times New Roman" w:cs="Times New Roman"/>
          <w:sz w:val="22"/>
          <w:szCs w:val="22"/>
        </w:rPr>
        <w:t>The performance of 12 km NEPS has also been analyzed for heavy rainfall cases over Indian region.</w:t>
      </w:r>
      <w:r w:rsidR="00E22761" w:rsidRPr="0092316D">
        <w:t xml:space="preserve">  </w:t>
      </w:r>
    </w:p>
    <w:p w:rsidR="0024691C" w:rsidRDefault="0024691C" w:rsidP="00CC4323">
      <w:pPr>
        <w:tabs>
          <w:tab w:val="num" w:pos="720"/>
        </w:tabs>
        <w:spacing w:line="360" w:lineRule="auto"/>
        <w:jc w:val="both"/>
      </w:pPr>
    </w:p>
    <w:p w:rsidR="0024691C" w:rsidRDefault="0024691C"/>
    <w:p w:rsidR="0024691C" w:rsidRDefault="00147289" w:rsidP="00A4234B">
      <w:pPr>
        <w:jc w:val="center"/>
      </w:pPr>
      <w:r w:rsidRPr="00147289">
        <w:drawing>
          <wp:inline distT="0" distB="0" distL="0" distR="0">
            <wp:extent cx="4419600" cy="2571750"/>
            <wp:effectExtent l="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72229" cy="3810024"/>
                      <a:chOff x="2000233" y="1214422"/>
                      <a:chExt cx="6072229" cy="3810024"/>
                    </a:xfrm>
                  </a:grpSpPr>
                  <a:grpSp>
                    <a:nvGrpSpPr>
                      <a:cNvPr id="10" name="Group 9"/>
                      <a:cNvGrpSpPr/>
                    </a:nvGrpSpPr>
                    <a:grpSpPr>
                      <a:xfrm>
                        <a:off x="2000233" y="1214422"/>
                        <a:ext cx="6072229" cy="3810024"/>
                        <a:chOff x="2000233" y="1214422"/>
                        <a:chExt cx="6072229" cy="3810024"/>
                      </a:xfrm>
                    </a:grpSpPr>
                    <a:pic>
                      <a:nvPicPr>
                        <a:cNvPr id="4" name="Picture 3"/>
                        <a:cNvPicPr/>
                      </a:nvPicPr>
                      <a:blipFill>
                        <a:blip r:embed="rId4" cstate="print"/>
                        <a:srcRect b="13050"/>
                        <a:stretch>
                          <a:fillRect/>
                        </a:stretch>
                      </a:blipFill>
                      <a:spPr bwMode="auto">
                        <a:xfrm>
                          <a:off x="2357422" y="1214422"/>
                          <a:ext cx="5572164" cy="3357586"/>
                        </a:xfrm>
                        <a:prstGeom prst="rect">
                          <a:avLst/>
                        </a:prstGeom>
                        <a:noFill/>
                      </a:spPr>
                    </a:pic>
                    <a:sp>
                      <a:nvSpPr>
                        <a:cNvPr id="5" name="Text Box 4"/>
                        <a:cNvSpPr txBox="1">
                          <a:spLocks noChangeArrowheads="1"/>
                        </a:cNvSpPr>
                      </a:nvSpPr>
                      <a:spPr bwMode="auto">
                        <a:xfrm>
                          <a:off x="3857620" y="4643446"/>
                          <a:ext cx="3286148" cy="381000"/>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600" b="1" i="0" u="none" strike="noStrike" cap="none" normalizeH="0" baseline="0" dirty="0" smtClean="0">
                                <a:ln>
                                  <a:noFill/>
                                </a:ln>
                                <a:solidFill>
                                  <a:schemeClr val="tx1"/>
                                </a:solidFill>
                                <a:effectLst/>
                                <a:latin typeface="Times New Roman" pitchFamily="18" charset="0"/>
                                <a:cs typeface="Times New Roman" pitchFamily="18" charset="0"/>
                              </a:rPr>
                              <a:t>No. of </a:t>
                            </a:r>
                            <a:r>
                              <a:rPr lang="en-US" sz="1600" b="1" dirty="0" smtClean="0">
                                <a:latin typeface="Times New Roman" pitchFamily="18" charset="0"/>
                                <a:cs typeface="Times New Roman" pitchFamily="18" charset="0"/>
                              </a:rPr>
                              <a:t>short forecast</a:t>
                            </a:r>
                            <a:r>
                              <a:rPr kumimoji="0" lang="en-US" sz="1600" b="1" i="0" u="none" strike="noStrike" cap="none" normalizeH="0" baseline="0" dirty="0" smtClean="0">
                                <a:ln>
                                  <a:noFill/>
                                </a:ln>
                                <a:solidFill>
                                  <a:schemeClr val="tx1"/>
                                </a:solidFill>
                                <a:effectLst/>
                                <a:latin typeface="Times New Roman" pitchFamily="18" charset="0"/>
                                <a:cs typeface="Times New Roman" pitchFamily="18" charset="0"/>
                              </a:rPr>
                              <a:t> </a:t>
                            </a:r>
                            <a:r>
                              <a:rPr kumimoji="0" lang="en-US" sz="1600" b="1" i="0" u="none" strike="noStrike" cap="none" normalizeH="0" baseline="0" dirty="0" smtClean="0">
                                <a:ln>
                                  <a:noFill/>
                                </a:ln>
                                <a:solidFill>
                                  <a:schemeClr val="tx1"/>
                                </a:solidFill>
                                <a:effectLst/>
                                <a:latin typeface="Times New Roman" pitchFamily="18" charset="0"/>
                                <a:cs typeface="Times New Roman" pitchFamily="18" charset="0"/>
                              </a:rPr>
                              <a:t>cycles</a:t>
                            </a:r>
                            <a:endParaRPr kumimoji="0" lang="en-US" sz="1600" b="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a:sp>
                      <a:nvSpPr>
                        <a:cNvPr id="1027" name="Text Box 3"/>
                        <a:cNvSpPr txBox="1">
                          <a:spLocks noChangeArrowheads="1"/>
                        </a:cNvSpPr>
                      </a:nvSpPr>
                      <a:spPr bwMode="auto">
                        <a:xfrm>
                          <a:off x="2000233" y="1643050"/>
                          <a:ext cx="500065" cy="2071702"/>
                        </a:xfrm>
                        <a:prstGeom prst="rect">
                          <a:avLst/>
                        </a:prstGeom>
                        <a:noFill/>
                        <a:ln w="9525">
                          <a:noFill/>
                          <a:miter lim="800000"/>
                          <a:headEnd/>
                          <a:tailEnd/>
                        </a:ln>
                      </a:spPr>
                      <a:txSp>
                        <a:txBody>
                          <a:bodyPr vert="vert270"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IN" sz="1400" b="1" i="0" u="none" strike="noStrike" cap="none" normalizeH="0" baseline="0" dirty="0" smtClean="0">
                                <a:ln>
                                  <a:noFill/>
                                </a:ln>
                                <a:solidFill>
                                  <a:schemeClr val="tx1"/>
                                </a:solidFill>
                                <a:effectLst/>
                                <a:latin typeface="Times New Roman" pitchFamily="18" charset="0"/>
                                <a:cs typeface="Arial" pitchFamily="34" charset="0"/>
                              </a:rPr>
                              <a:t>SPREAD ((kg/kg)x10</a:t>
                            </a:r>
                            <a:r>
                              <a:rPr kumimoji="0" lang="en-IN" sz="1400" b="1" i="0" u="none" strike="noStrike" cap="none" normalizeH="0" baseline="30000" dirty="0" smtClean="0">
                                <a:ln>
                                  <a:noFill/>
                                </a:ln>
                                <a:solidFill>
                                  <a:schemeClr val="tx1"/>
                                </a:solidFill>
                                <a:effectLst/>
                                <a:latin typeface="Times New Roman" pitchFamily="18" charset="0"/>
                                <a:cs typeface="Arial" pitchFamily="34" charset="0"/>
                              </a:rPr>
                              <a:t>-4</a:t>
                            </a:r>
                            <a:r>
                              <a:rPr kumimoji="0" lang="en-IN" sz="1400" b="1" i="0" u="none" strike="noStrike" cap="none" normalizeH="0" baseline="0" dirty="0" smtClean="0">
                                <a:ln>
                                  <a:noFill/>
                                </a:ln>
                                <a:solidFill>
                                  <a:schemeClr val="tx1"/>
                                </a:solidFill>
                                <a:effectLst/>
                                <a:latin typeface="Times New Roman" pitchFamily="18" charset="0"/>
                                <a:cs typeface="Arial" pitchFamily="34" charset="0"/>
                              </a:rPr>
                              <a:t>)</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pic>
                      <a:nvPicPr>
                        <a:cNvPr id="8" name="Picture 7"/>
                        <a:cNvPicPr/>
                      </a:nvPicPr>
                      <a:blipFill>
                        <a:blip r:embed="rId5"/>
                        <a:srcRect t="85714"/>
                        <a:stretch>
                          <a:fillRect/>
                        </a:stretch>
                      </a:blipFill>
                      <a:spPr bwMode="auto">
                        <a:xfrm>
                          <a:off x="3000364" y="1428736"/>
                          <a:ext cx="5072098" cy="428628"/>
                        </a:xfrm>
                        <a:prstGeom prst="rect">
                          <a:avLst/>
                        </a:prstGeom>
                        <a:noFill/>
                      </a:spPr>
                    </a:pic>
                  </a:grpSp>
                </lc:lockedCanvas>
              </a:graphicData>
            </a:graphic>
          </wp:inline>
        </w:drawing>
      </w:r>
    </w:p>
    <w:p w:rsidR="0024691C" w:rsidRDefault="0024691C"/>
    <w:p w:rsidR="0024691C" w:rsidRDefault="0024691C"/>
    <w:p w:rsidR="0024691C" w:rsidRPr="0024691C" w:rsidRDefault="0024691C">
      <w:pPr>
        <w:rPr>
          <w:rFonts w:ascii="Arial" w:hAnsi="Arial" w:cs="Arial"/>
          <w:sz w:val="18"/>
          <w:szCs w:val="18"/>
        </w:rPr>
      </w:pPr>
      <w:r w:rsidRPr="0024691C">
        <w:rPr>
          <w:rFonts w:ascii="Arial" w:hAnsi="Arial" w:cs="Arial"/>
          <w:iCs/>
          <w:sz w:val="18"/>
          <w:szCs w:val="18"/>
        </w:rPr>
        <w:t xml:space="preserve">Fig 1: Ensemble spread in Specific Humidity </w:t>
      </w:r>
      <w:r w:rsidRPr="0024691C">
        <w:rPr>
          <w:rFonts w:ascii="Arial" w:hAnsi="Arial" w:cs="Arial"/>
          <w:sz w:val="18"/>
          <w:szCs w:val="18"/>
        </w:rPr>
        <w:t>at 5600m height</w:t>
      </w:r>
    </w:p>
    <w:p w:rsidR="00253FF4" w:rsidRPr="0028644A" w:rsidRDefault="00253FF4" w:rsidP="00253FF4">
      <w:pPr>
        <w:pStyle w:val="Heading1"/>
        <w:rPr>
          <w:rStyle w:val="Hyperlink"/>
        </w:rPr>
      </w:pPr>
      <w:bookmarkStart w:id="0" w:name="_GoBack"/>
      <w:bookmarkEnd w:id="0"/>
      <w:r w:rsidRPr="0028644A">
        <w:t>References</w:t>
      </w:r>
    </w:p>
    <w:p w:rsidR="00B51AED" w:rsidRDefault="00B51AED"/>
    <w:p w:rsidR="00253FF4" w:rsidRPr="00253FF4" w:rsidRDefault="00253FF4" w:rsidP="00AB0B97">
      <w:pPr>
        <w:spacing w:after="200" w:line="276" w:lineRule="auto"/>
        <w:ind w:right="-329"/>
        <w:rPr>
          <w:rFonts w:ascii="Times New Roman" w:eastAsiaTheme="minorHAnsi" w:hAnsi="Times New Roman" w:cs="Times New Roman"/>
          <w:sz w:val="22"/>
          <w:szCs w:val="22"/>
        </w:rPr>
      </w:pPr>
      <w:r w:rsidRPr="00253FF4">
        <w:rPr>
          <w:rFonts w:ascii="Times New Roman" w:eastAsiaTheme="minorHAnsi" w:hAnsi="Times New Roman" w:cs="Times New Roman"/>
          <w:sz w:val="22"/>
          <w:szCs w:val="22"/>
        </w:rPr>
        <w:t xml:space="preserve">Bowler N.E., </w:t>
      </w:r>
      <w:proofErr w:type="spellStart"/>
      <w:r w:rsidRPr="00253FF4">
        <w:rPr>
          <w:rFonts w:ascii="Times New Roman" w:eastAsiaTheme="minorHAnsi" w:hAnsi="Times New Roman" w:cs="Times New Roman"/>
          <w:sz w:val="22"/>
          <w:szCs w:val="22"/>
        </w:rPr>
        <w:t>Arrib</w:t>
      </w:r>
      <w:r w:rsidR="002506A2">
        <w:rPr>
          <w:rFonts w:ascii="Times New Roman" w:eastAsiaTheme="minorHAnsi" w:hAnsi="Times New Roman" w:cs="Times New Roman"/>
          <w:sz w:val="22"/>
          <w:szCs w:val="22"/>
        </w:rPr>
        <w:t>as</w:t>
      </w:r>
      <w:proofErr w:type="spellEnd"/>
      <w:r w:rsidR="002506A2">
        <w:rPr>
          <w:rFonts w:ascii="Times New Roman" w:eastAsiaTheme="minorHAnsi" w:hAnsi="Times New Roman" w:cs="Times New Roman"/>
          <w:sz w:val="22"/>
          <w:szCs w:val="22"/>
        </w:rPr>
        <w:t xml:space="preserve"> A., </w:t>
      </w:r>
      <w:proofErr w:type="spellStart"/>
      <w:r w:rsidR="002506A2">
        <w:rPr>
          <w:rFonts w:ascii="Times New Roman" w:eastAsiaTheme="minorHAnsi" w:hAnsi="Times New Roman" w:cs="Times New Roman"/>
          <w:sz w:val="22"/>
          <w:szCs w:val="22"/>
        </w:rPr>
        <w:t>Beare</w:t>
      </w:r>
      <w:proofErr w:type="spellEnd"/>
      <w:r w:rsidR="002506A2">
        <w:rPr>
          <w:rFonts w:ascii="Times New Roman" w:eastAsiaTheme="minorHAnsi" w:hAnsi="Times New Roman" w:cs="Times New Roman"/>
          <w:sz w:val="22"/>
          <w:szCs w:val="22"/>
        </w:rPr>
        <w:t xml:space="preserve"> S. E., </w:t>
      </w:r>
      <w:proofErr w:type="spellStart"/>
      <w:r w:rsidR="002506A2">
        <w:rPr>
          <w:rFonts w:ascii="Times New Roman" w:eastAsiaTheme="minorHAnsi" w:hAnsi="Times New Roman" w:cs="Times New Roman"/>
          <w:sz w:val="22"/>
          <w:szCs w:val="22"/>
        </w:rPr>
        <w:t>Mylne</w:t>
      </w:r>
      <w:proofErr w:type="spellEnd"/>
      <w:r w:rsidR="002506A2">
        <w:rPr>
          <w:rFonts w:ascii="Times New Roman" w:eastAsiaTheme="minorHAnsi" w:hAnsi="Times New Roman" w:cs="Times New Roman"/>
          <w:sz w:val="22"/>
          <w:szCs w:val="22"/>
        </w:rPr>
        <w:t xml:space="preserve"> K.R. and </w:t>
      </w:r>
      <w:proofErr w:type="spellStart"/>
      <w:r w:rsidRPr="00253FF4">
        <w:rPr>
          <w:rFonts w:ascii="Times New Roman" w:eastAsiaTheme="minorHAnsi" w:hAnsi="Times New Roman" w:cs="Times New Roman"/>
          <w:sz w:val="22"/>
          <w:szCs w:val="22"/>
        </w:rPr>
        <w:t>Shutts</w:t>
      </w:r>
      <w:proofErr w:type="spellEnd"/>
      <w:r w:rsidRPr="00253FF4">
        <w:rPr>
          <w:rFonts w:ascii="Times New Roman" w:eastAsiaTheme="minorHAnsi" w:hAnsi="Times New Roman" w:cs="Times New Roman"/>
          <w:sz w:val="22"/>
          <w:szCs w:val="22"/>
        </w:rPr>
        <w:t xml:space="preserve"> G. J. 2009: The local ETKF and SKEB: Upgrades to the MOGREPS short-range ensemble prediction system. </w:t>
      </w:r>
      <w:proofErr w:type="gramStart"/>
      <w:r w:rsidRPr="00253FF4">
        <w:rPr>
          <w:rFonts w:ascii="Times New Roman" w:eastAsiaTheme="minorHAnsi" w:hAnsi="Times New Roman" w:cs="Times New Roman"/>
          <w:sz w:val="22"/>
          <w:szCs w:val="22"/>
        </w:rPr>
        <w:t>Q</w:t>
      </w:r>
      <w:r w:rsidR="00AB0B97">
        <w:rPr>
          <w:rFonts w:ascii="Times New Roman" w:eastAsiaTheme="minorHAnsi" w:hAnsi="Times New Roman" w:cs="Times New Roman"/>
          <w:sz w:val="22"/>
          <w:szCs w:val="22"/>
        </w:rPr>
        <w:t>uart.</w:t>
      </w:r>
      <w:proofErr w:type="gramEnd"/>
      <w:r w:rsidR="00AB0B97">
        <w:rPr>
          <w:rFonts w:ascii="Times New Roman" w:eastAsiaTheme="minorHAnsi" w:hAnsi="Times New Roman" w:cs="Times New Roman"/>
          <w:sz w:val="22"/>
          <w:szCs w:val="22"/>
        </w:rPr>
        <w:t xml:space="preserve"> J. Roy. </w:t>
      </w:r>
      <w:proofErr w:type="gramStart"/>
      <w:r w:rsidR="00AB0B97">
        <w:rPr>
          <w:rFonts w:ascii="Times New Roman" w:eastAsiaTheme="minorHAnsi" w:hAnsi="Times New Roman" w:cs="Times New Roman"/>
          <w:sz w:val="22"/>
          <w:szCs w:val="22"/>
        </w:rPr>
        <w:t>Meteor.</w:t>
      </w:r>
      <w:proofErr w:type="gramEnd"/>
      <w:r w:rsidR="00AB0B97">
        <w:rPr>
          <w:rFonts w:ascii="Times New Roman" w:eastAsiaTheme="minorHAnsi" w:hAnsi="Times New Roman" w:cs="Times New Roman"/>
          <w:sz w:val="22"/>
          <w:szCs w:val="22"/>
        </w:rPr>
        <w:t xml:space="preserve"> Soc., 135,</w:t>
      </w:r>
      <w:r w:rsidRPr="00253FF4">
        <w:rPr>
          <w:rFonts w:ascii="Times New Roman" w:eastAsiaTheme="minorHAnsi" w:hAnsi="Times New Roman" w:cs="Times New Roman"/>
          <w:sz w:val="22"/>
          <w:szCs w:val="22"/>
        </w:rPr>
        <w:t xml:space="preserve"> 767–776</w:t>
      </w:r>
      <w:r w:rsidR="00AB0B97">
        <w:rPr>
          <w:rFonts w:ascii="Times New Roman" w:eastAsiaTheme="minorHAnsi" w:hAnsi="Times New Roman" w:cs="Times New Roman"/>
          <w:sz w:val="22"/>
          <w:szCs w:val="22"/>
        </w:rPr>
        <w:t>.</w:t>
      </w:r>
    </w:p>
    <w:p w:rsidR="00253FF4" w:rsidRPr="00253FF4" w:rsidRDefault="00600208" w:rsidP="00AB0B97">
      <w:pPr>
        <w:spacing w:after="200" w:line="276" w:lineRule="auto"/>
        <w:ind w:right="-329"/>
        <w:jc w:val="both"/>
        <w:rPr>
          <w:rFonts w:ascii="Times New Roman" w:eastAsiaTheme="minorHAnsi" w:hAnsi="Times New Roman" w:cs="Times New Roman"/>
          <w:sz w:val="22"/>
          <w:szCs w:val="22"/>
        </w:rPr>
      </w:pPr>
      <w:proofErr w:type="spellStart"/>
      <w:r>
        <w:rPr>
          <w:rFonts w:ascii="Times New Roman" w:eastAsiaTheme="minorHAnsi" w:hAnsi="Times New Roman" w:cs="Times New Roman"/>
          <w:sz w:val="22"/>
          <w:szCs w:val="22"/>
        </w:rPr>
        <w:t>Mamgain</w:t>
      </w:r>
      <w:proofErr w:type="spellEnd"/>
      <w:r>
        <w:rPr>
          <w:rFonts w:ascii="Times New Roman" w:eastAsiaTheme="minorHAnsi" w:hAnsi="Times New Roman" w:cs="Times New Roman"/>
          <w:sz w:val="22"/>
          <w:szCs w:val="22"/>
        </w:rPr>
        <w:t xml:space="preserve"> A., </w:t>
      </w:r>
      <w:proofErr w:type="spellStart"/>
      <w:r w:rsidR="00253FF4" w:rsidRPr="00253FF4">
        <w:rPr>
          <w:rFonts w:ascii="Times New Roman" w:eastAsiaTheme="minorHAnsi" w:hAnsi="Times New Roman" w:cs="Times New Roman"/>
          <w:sz w:val="22"/>
          <w:szCs w:val="22"/>
        </w:rPr>
        <w:t>Sarkar</w:t>
      </w:r>
      <w:proofErr w:type="spellEnd"/>
      <w:r w:rsidR="00253FF4" w:rsidRPr="00253FF4">
        <w:rPr>
          <w:rFonts w:ascii="Times New Roman" w:eastAsiaTheme="minorHAnsi" w:hAnsi="Times New Roman" w:cs="Times New Roman"/>
          <w:sz w:val="22"/>
          <w:szCs w:val="22"/>
        </w:rPr>
        <w:t xml:space="preserve"> A., </w:t>
      </w:r>
      <w:proofErr w:type="spellStart"/>
      <w:r>
        <w:rPr>
          <w:rFonts w:ascii="Times New Roman" w:eastAsiaTheme="minorHAnsi" w:hAnsi="Times New Roman" w:cs="Times New Roman"/>
          <w:sz w:val="22"/>
          <w:szCs w:val="22"/>
        </w:rPr>
        <w:t>Dube</w:t>
      </w:r>
      <w:proofErr w:type="spellEnd"/>
      <w:r>
        <w:rPr>
          <w:rFonts w:ascii="Times New Roman" w:eastAsiaTheme="minorHAnsi" w:hAnsi="Times New Roman" w:cs="Times New Roman"/>
          <w:sz w:val="22"/>
          <w:szCs w:val="22"/>
        </w:rPr>
        <w:t xml:space="preserve"> A., </w:t>
      </w:r>
      <w:proofErr w:type="spellStart"/>
      <w:r>
        <w:rPr>
          <w:rFonts w:ascii="Times New Roman" w:eastAsiaTheme="minorHAnsi" w:hAnsi="Times New Roman" w:cs="Times New Roman"/>
          <w:sz w:val="22"/>
          <w:szCs w:val="22"/>
        </w:rPr>
        <w:t>Arulalan</w:t>
      </w:r>
      <w:proofErr w:type="spellEnd"/>
      <w:r>
        <w:rPr>
          <w:rFonts w:ascii="Times New Roman" w:eastAsiaTheme="minorHAnsi" w:hAnsi="Times New Roman" w:cs="Times New Roman"/>
          <w:sz w:val="22"/>
          <w:szCs w:val="22"/>
        </w:rPr>
        <w:t xml:space="preserve"> T., </w:t>
      </w:r>
      <w:proofErr w:type="spellStart"/>
      <w:r w:rsidR="002506A2">
        <w:rPr>
          <w:rFonts w:ascii="Times New Roman" w:eastAsiaTheme="minorHAnsi" w:hAnsi="Times New Roman" w:cs="Times New Roman"/>
          <w:sz w:val="22"/>
          <w:szCs w:val="22"/>
        </w:rPr>
        <w:t>Chakraborty</w:t>
      </w:r>
      <w:proofErr w:type="spellEnd"/>
      <w:r w:rsidR="002506A2">
        <w:rPr>
          <w:rFonts w:ascii="Times New Roman" w:eastAsiaTheme="minorHAnsi" w:hAnsi="Times New Roman" w:cs="Times New Roman"/>
          <w:sz w:val="22"/>
          <w:szCs w:val="22"/>
        </w:rPr>
        <w:t xml:space="preserve"> P., John P.G. and </w:t>
      </w:r>
      <w:proofErr w:type="spellStart"/>
      <w:r w:rsidR="00253FF4" w:rsidRPr="00253FF4">
        <w:rPr>
          <w:rFonts w:ascii="Times New Roman" w:eastAsiaTheme="minorHAnsi" w:hAnsi="Times New Roman" w:cs="Times New Roman"/>
          <w:sz w:val="22"/>
          <w:szCs w:val="22"/>
        </w:rPr>
        <w:t>Rajagopal</w:t>
      </w:r>
      <w:proofErr w:type="spellEnd"/>
      <w:r w:rsidR="00253FF4" w:rsidRPr="00253FF4">
        <w:rPr>
          <w:rFonts w:ascii="Times New Roman" w:eastAsiaTheme="minorHAnsi" w:hAnsi="Times New Roman" w:cs="Times New Roman"/>
          <w:sz w:val="22"/>
          <w:szCs w:val="22"/>
        </w:rPr>
        <w:t xml:space="preserve"> E.N. </w:t>
      </w:r>
      <w:r>
        <w:rPr>
          <w:rFonts w:ascii="Times New Roman" w:eastAsiaTheme="minorHAnsi" w:hAnsi="Times New Roman" w:cs="Times New Roman"/>
          <w:sz w:val="22"/>
          <w:szCs w:val="22"/>
        </w:rPr>
        <w:t>2018</w:t>
      </w:r>
      <w:r w:rsidR="00253FF4" w:rsidRPr="00253FF4">
        <w:rPr>
          <w:rFonts w:ascii="Times New Roman" w:eastAsiaTheme="minorHAnsi" w:hAnsi="Times New Roman" w:cs="Times New Roman"/>
          <w:sz w:val="22"/>
          <w:szCs w:val="22"/>
        </w:rPr>
        <w:t xml:space="preserve">: Implementation of </w:t>
      </w:r>
      <w:r>
        <w:rPr>
          <w:rFonts w:ascii="Times New Roman" w:eastAsiaTheme="minorHAnsi" w:hAnsi="Times New Roman" w:cs="Times New Roman"/>
          <w:sz w:val="22"/>
          <w:szCs w:val="22"/>
        </w:rPr>
        <w:t xml:space="preserve">very high resolution (12 km) Global </w:t>
      </w:r>
      <w:r w:rsidR="00253FF4" w:rsidRPr="00253FF4">
        <w:rPr>
          <w:rFonts w:ascii="Times New Roman" w:eastAsiaTheme="minorHAnsi" w:hAnsi="Times New Roman" w:cs="Times New Roman"/>
          <w:sz w:val="22"/>
          <w:szCs w:val="22"/>
        </w:rPr>
        <w:t>Ensemble Prediction System at NCMRWF</w:t>
      </w:r>
      <w:r>
        <w:rPr>
          <w:rFonts w:ascii="Times New Roman" w:eastAsiaTheme="minorHAnsi" w:hAnsi="Times New Roman" w:cs="Times New Roman"/>
          <w:sz w:val="22"/>
          <w:szCs w:val="22"/>
        </w:rPr>
        <w:t xml:space="preserve"> and its initial validation, NMRF/TR/02/2018, 21</w:t>
      </w:r>
      <w:r w:rsidR="00253FF4" w:rsidRPr="00253FF4">
        <w:rPr>
          <w:rFonts w:ascii="Times New Roman" w:eastAsiaTheme="minorHAnsi" w:hAnsi="Times New Roman" w:cs="Times New Roman"/>
          <w:sz w:val="22"/>
          <w:szCs w:val="22"/>
        </w:rPr>
        <w:t>p</w:t>
      </w:r>
      <w:r w:rsidR="00AB0B97">
        <w:rPr>
          <w:rFonts w:ascii="Times New Roman" w:eastAsiaTheme="minorHAnsi" w:hAnsi="Times New Roman" w:cs="Times New Roman"/>
          <w:sz w:val="22"/>
          <w:szCs w:val="22"/>
        </w:rPr>
        <w:t>.</w:t>
      </w:r>
      <w:r w:rsidR="00253FF4" w:rsidRPr="00253FF4">
        <w:rPr>
          <w:rFonts w:ascii="Times New Roman" w:eastAsiaTheme="minorHAnsi" w:hAnsi="Times New Roman" w:cs="Times New Roman"/>
          <w:sz w:val="22"/>
          <w:szCs w:val="22"/>
        </w:rPr>
        <w:t xml:space="preserve"> </w:t>
      </w:r>
    </w:p>
    <w:p w:rsidR="00253FF4" w:rsidRPr="00253FF4" w:rsidRDefault="002506A2" w:rsidP="00AB0B97">
      <w:pPr>
        <w:spacing w:after="200" w:line="276" w:lineRule="auto"/>
        <w:ind w:right="-329"/>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Tennant W. and </w:t>
      </w:r>
      <w:proofErr w:type="spellStart"/>
      <w:r w:rsidR="00253FF4" w:rsidRPr="00253FF4">
        <w:rPr>
          <w:rFonts w:ascii="Times New Roman" w:eastAsiaTheme="minorHAnsi" w:hAnsi="Times New Roman" w:cs="Times New Roman"/>
          <w:sz w:val="22"/>
          <w:szCs w:val="22"/>
        </w:rPr>
        <w:t>Beare</w:t>
      </w:r>
      <w:proofErr w:type="spellEnd"/>
      <w:r w:rsidR="00253FF4" w:rsidRPr="00253FF4">
        <w:rPr>
          <w:rFonts w:ascii="Times New Roman" w:eastAsiaTheme="minorHAnsi" w:hAnsi="Times New Roman" w:cs="Times New Roman"/>
          <w:sz w:val="22"/>
          <w:szCs w:val="22"/>
        </w:rPr>
        <w:t xml:space="preserve"> S.</w:t>
      </w:r>
      <w:r w:rsidR="00AB0B97">
        <w:rPr>
          <w:rFonts w:ascii="Times New Roman" w:eastAsiaTheme="minorHAnsi" w:hAnsi="Times New Roman" w:cs="Times New Roman"/>
          <w:sz w:val="22"/>
          <w:szCs w:val="22"/>
        </w:rPr>
        <w:t xml:space="preserve"> </w:t>
      </w:r>
      <w:r w:rsidR="00253FF4" w:rsidRPr="00253FF4">
        <w:rPr>
          <w:rFonts w:ascii="Times New Roman" w:eastAsiaTheme="minorHAnsi" w:hAnsi="Times New Roman" w:cs="Times New Roman"/>
          <w:sz w:val="22"/>
          <w:szCs w:val="22"/>
        </w:rPr>
        <w:t xml:space="preserve">2014: New schemes to perturb sea-surface temperature and soil moisture content in MOGREPS. </w:t>
      </w:r>
      <w:proofErr w:type="gramStart"/>
      <w:r w:rsidR="00253FF4" w:rsidRPr="00253FF4">
        <w:rPr>
          <w:rFonts w:ascii="Times New Roman" w:eastAsiaTheme="minorHAnsi" w:hAnsi="Times New Roman" w:cs="Times New Roman"/>
          <w:sz w:val="22"/>
          <w:szCs w:val="22"/>
        </w:rPr>
        <w:t>Q</w:t>
      </w:r>
      <w:r w:rsidR="00AB0B97">
        <w:rPr>
          <w:rFonts w:ascii="Times New Roman" w:eastAsiaTheme="minorHAnsi" w:hAnsi="Times New Roman" w:cs="Times New Roman"/>
          <w:sz w:val="22"/>
          <w:szCs w:val="22"/>
        </w:rPr>
        <w:t>uart.</w:t>
      </w:r>
      <w:proofErr w:type="gramEnd"/>
      <w:r w:rsidR="00AB0B97">
        <w:rPr>
          <w:rFonts w:ascii="Times New Roman" w:eastAsiaTheme="minorHAnsi" w:hAnsi="Times New Roman" w:cs="Times New Roman"/>
          <w:sz w:val="22"/>
          <w:szCs w:val="22"/>
        </w:rPr>
        <w:t xml:space="preserve"> J. Roy. </w:t>
      </w:r>
      <w:proofErr w:type="gramStart"/>
      <w:r w:rsidR="00AB0B97">
        <w:rPr>
          <w:rFonts w:ascii="Times New Roman" w:eastAsiaTheme="minorHAnsi" w:hAnsi="Times New Roman" w:cs="Times New Roman"/>
          <w:sz w:val="22"/>
          <w:szCs w:val="22"/>
        </w:rPr>
        <w:t>Meteor.</w:t>
      </w:r>
      <w:proofErr w:type="gramEnd"/>
      <w:r w:rsidR="00AB0B97">
        <w:rPr>
          <w:rFonts w:ascii="Times New Roman" w:eastAsiaTheme="minorHAnsi" w:hAnsi="Times New Roman" w:cs="Times New Roman"/>
          <w:sz w:val="22"/>
          <w:szCs w:val="22"/>
        </w:rPr>
        <w:t xml:space="preserve"> Soc., 140,</w:t>
      </w:r>
      <w:r w:rsidR="00253FF4" w:rsidRPr="00253FF4">
        <w:rPr>
          <w:rFonts w:ascii="Times New Roman" w:eastAsiaTheme="minorHAnsi" w:hAnsi="Times New Roman" w:cs="Times New Roman"/>
          <w:sz w:val="22"/>
          <w:szCs w:val="22"/>
        </w:rPr>
        <w:t xml:space="preserve"> 1150–1160</w:t>
      </w:r>
      <w:r w:rsidR="00AB0B97">
        <w:rPr>
          <w:rFonts w:ascii="Times New Roman" w:eastAsiaTheme="minorHAnsi" w:hAnsi="Times New Roman" w:cs="Times New Roman"/>
          <w:sz w:val="22"/>
          <w:szCs w:val="22"/>
        </w:rPr>
        <w:t>.</w:t>
      </w:r>
    </w:p>
    <w:p w:rsidR="00253FF4" w:rsidRPr="00253FF4" w:rsidRDefault="00253FF4" w:rsidP="00600208">
      <w:pPr>
        <w:spacing w:after="200" w:line="276" w:lineRule="auto"/>
        <w:ind w:right="-329"/>
        <w:jc w:val="both"/>
        <w:rPr>
          <w:rFonts w:ascii="Times New Roman" w:hAnsi="Times New Roman" w:cs="Times New Roman"/>
          <w:sz w:val="22"/>
          <w:szCs w:val="22"/>
        </w:rPr>
      </w:pPr>
      <w:r w:rsidRPr="00253FF4">
        <w:rPr>
          <w:rFonts w:ascii="Times New Roman" w:eastAsiaTheme="minorHAnsi" w:hAnsi="Times New Roman" w:cs="Times New Roman"/>
          <w:sz w:val="22"/>
          <w:szCs w:val="22"/>
        </w:rPr>
        <w:t>Tennant</w:t>
      </w:r>
      <w:r w:rsidR="002506A2">
        <w:rPr>
          <w:rFonts w:ascii="Times New Roman" w:eastAsiaTheme="minorHAnsi" w:hAnsi="Times New Roman" w:cs="Times New Roman"/>
          <w:sz w:val="22"/>
          <w:szCs w:val="22"/>
        </w:rPr>
        <w:t xml:space="preserve"> W.J., </w:t>
      </w:r>
      <w:proofErr w:type="spellStart"/>
      <w:r w:rsidR="002506A2">
        <w:rPr>
          <w:rFonts w:ascii="Times New Roman" w:eastAsiaTheme="minorHAnsi" w:hAnsi="Times New Roman" w:cs="Times New Roman"/>
          <w:sz w:val="22"/>
          <w:szCs w:val="22"/>
        </w:rPr>
        <w:t>Shutts</w:t>
      </w:r>
      <w:proofErr w:type="spellEnd"/>
      <w:r w:rsidR="002506A2">
        <w:rPr>
          <w:rFonts w:ascii="Times New Roman" w:eastAsiaTheme="minorHAnsi" w:hAnsi="Times New Roman" w:cs="Times New Roman"/>
          <w:sz w:val="22"/>
          <w:szCs w:val="22"/>
        </w:rPr>
        <w:t xml:space="preserve"> G.J., </w:t>
      </w:r>
      <w:proofErr w:type="spellStart"/>
      <w:r w:rsidR="002506A2">
        <w:rPr>
          <w:rFonts w:ascii="Times New Roman" w:eastAsiaTheme="minorHAnsi" w:hAnsi="Times New Roman" w:cs="Times New Roman"/>
          <w:sz w:val="22"/>
          <w:szCs w:val="22"/>
        </w:rPr>
        <w:t>Arribas</w:t>
      </w:r>
      <w:proofErr w:type="spellEnd"/>
      <w:r w:rsidR="002506A2">
        <w:rPr>
          <w:rFonts w:ascii="Times New Roman" w:eastAsiaTheme="minorHAnsi" w:hAnsi="Times New Roman" w:cs="Times New Roman"/>
          <w:sz w:val="22"/>
          <w:szCs w:val="22"/>
        </w:rPr>
        <w:t xml:space="preserve"> A. and </w:t>
      </w:r>
      <w:r w:rsidRPr="00253FF4">
        <w:rPr>
          <w:rFonts w:ascii="Times New Roman" w:eastAsiaTheme="minorHAnsi" w:hAnsi="Times New Roman" w:cs="Times New Roman"/>
          <w:sz w:val="22"/>
          <w:szCs w:val="22"/>
        </w:rPr>
        <w:t>Thompson S.A. 2011: Using a Stochastic Kinetic Energy Backscatter Scheme to Improve MOGREPS Probabilistic Fore</w:t>
      </w:r>
      <w:r w:rsidR="00600208">
        <w:rPr>
          <w:rFonts w:ascii="Times New Roman" w:eastAsiaTheme="minorHAnsi" w:hAnsi="Times New Roman" w:cs="Times New Roman"/>
          <w:sz w:val="22"/>
          <w:szCs w:val="22"/>
        </w:rPr>
        <w:t xml:space="preserve">cast Skill. Mon. </w:t>
      </w:r>
      <w:proofErr w:type="spellStart"/>
      <w:r w:rsidR="00AB0B97">
        <w:rPr>
          <w:rFonts w:ascii="Times New Roman" w:eastAsiaTheme="minorHAnsi" w:hAnsi="Times New Roman" w:cs="Times New Roman"/>
          <w:sz w:val="22"/>
          <w:szCs w:val="22"/>
        </w:rPr>
        <w:t>Wea</w:t>
      </w:r>
      <w:proofErr w:type="spellEnd"/>
      <w:r w:rsidR="00AB0B97">
        <w:rPr>
          <w:rFonts w:ascii="Times New Roman" w:eastAsiaTheme="minorHAnsi" w:hAnsi="Times New Roman" w:cs="Times New Roman"/>
          <w:sz w:val="22"/>
          <w:szCs w:val="22"/>
        </w:rPr>
        <w:t>. Rev., 139,</w:t>
      </w:r>
      <w:r w:rsidRPr="00253FF4">
        <w:rPr>
          <w:rFonts w:ascii="Times New Roman" w:eastAsiaTheme="minorHAnsi" w:hAnsi="Times New Roman" w:cs="Times New Roman"/>
          <w:sz w:val="22"/>
          <w:szCs w:val="22"/>
        </w:rPr>
        <w:t xml:space="preserve"> 1190-1206</w:t>
      </w:r>
      <w:r w:rsidR="00AB0B97">
        <w:rPr>
          <w:rFonts w:ascii="Times New Roman" w:eastAsiaTheme="minorHAnsi" w:hAnsi="Times New Roman" w:cs="Times New Roman"/>
          <w:sz w:val="22"/>
          <w:szCs w:val="22"/>
        </w:rPr>
        <w:t>.</w:t>
      </w:r>
    </w:p>
    <w:sectPr w:rsidR="00253FF4" w:rsidRPr="00253FF4" w:rsidSect="00D53FB7">
      <w:pgSz w:w="11900" w:h="16840"/>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1AED"/>
    <w:rsid w:val="000B454C"/>
    <w:rsid w:val="000D0681"/>
    <w:rsid w:val="00140F81"/>
    <w:rsid w:val="00147289"/>
    <w:rsid w:val="001530EF"/>
    <w:rsid w:val="001822A7"/>
    <w:rsid w:val="001D07A8"/>
    <w:rsid w:val="0024691C"/>
    <w:rsid w:val="002506A2"/>
    <w:rsid w:val="00253FF4"/>
    <w:rsid w:val="002961FA"/>
    <w:rsid w:val="002B41E8"/>
    <w:rsid w:val="002B7F39"/>
    <w:rsid w:val="00312ED1"/>
    <w:rsid w:val="003566E1"/>
    <w:rsid w:val="00381B1B"/>
    <w:rsid w:val="003E0B01"/>
    <w:rsid w:val="00430D8F"/>
    <w:rsid w:val="0043295A"/>
    <w:rsid w:val="004C2AFF"/>
    <w:rsid w:val="004C2D8B"/>
    <w:rsid w:val="005F1A81"/>
    <w:rsid w:val="00600208"/>
    <w:rsid w:val="00605295"/>
    <w:rsid w:val="00613605"/>
    <w:rsid w:val="00615623"/>
    <w:rsid w:val="006A06C1"/>
    <w:rsid w:val="006B11B5"/>
    <w:rsid w:val="0078522F"/>
    <w:rsid w:val="007F355E"/>
    <w:rsid w:val="009644D2"/>
    <w:rsid w:val="00983CDF"/>
    <w:rsid w:val="00A4234B"/>
    <w:rsid w:val="00A8633E"/>
    <w:rsid w:val="00AA043F"/>
    <w:rsid w:val="00AB0B97"/>
    <w:rsid w:val="00AC63BD"/>
    <w:rsid w:val="00AE7870"/>
    <w:rsid w:val="00B308F1"/>
    <w:rsid w:val="00B51AED"/>
    <w:rsid w:val="00B64A79"/>
    <w:rsid w:val="00BC67CE"/>
    <w:rsid w:val="00BE31C3"/>
    <w:rsid w:val="00CA662D"/>
    <w:rsid w:val="00CC4323"/>
    <w:rsid w:val="00D2071C"/>
    <w:rsid w:val="00D53FB7"/>
    <w:rsid w:val="00D62755"/>
    <w:rsid w:val="00D921F5"/>
    <w:rsid w:val="00DA0AD5"/>
    <w:rsid w:val="00DF1EB3"/>
    <w:rsid w:val="00E1134A"/>
    <w:rsid w:val="00E22761"/>
    <w:rsid w:val="00E37681"/>
    <w:rsid w:val="00E72C96"/>
    <w:rsid w:val="00E871A4"/>
    <w:rsid w:val="00EA4056"/>
    <w:rsid w:val="00EE18A4"/>
    <w:rsid w:val="00EF411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96"/>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CommentReference">
    <w:name w:val="annotation reference"/>
    <w:basedOn w:val="DefaultParagraphFont"/>
    <w:uiPriority w:val="99"/>
    <w:unhideWhenUsed/>
    <w:rsid w:val="00253FF4"/>
    <w:rPr>
      <w:sz w:val="16"/>
      <w:szCs w:val="16"/>
    </w:rPr>
  </w:style>
  <w:style w:type="paragraph" w:styleId="CommentText">
    <w:name w:val="annotation text"/>
    <w:basedOn w:val="Normal"/>
    <w:link w:val="CommentTextChar"/>
    <w:uiPriority w:val="99"/>
    <w:unhideWhenUsed/>
    <w:rsid w:val="00253FF4"/>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53FF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53FF4"/>
    <w:rPr>
      <w:rFonts w:ascii="Tahoma" w:hAnsi="Tahoma" w:cs="Tahoma"/>
      <w:sz w:val="16"/>
      <w:szCs w:val="16"/>
    </w:rPr>
  </w:style>
  <w:style w:type="character" w:customStyle="1" w:styleId="BalloonTextChar">
    <w:name w:val="Balloon Text Char"/>
    <w:basedOn w:val="DefaultParagraphFont"/>
    <w:link w:val="BalloonText"/>
    <w:uiPriority w:val="99"/>
    <w:semiHidden/>
    <w:rsid w:val="00253F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09FA71F8-53A0-46B7-8F0E-297CE1973928}"/>
</file>

<file path=customXml/itemProps2.xml><?xml version="1.0" encoding="utf-8"?>
<ds:datastoreItem xmlns:ds="http://schemas.openxmlformats.org/officeDocument/2006/customXml" ds:itemID="{920D88DC-2B7C-4548-BE2B-6741929C7C8A}"/>
</file>

<file path=customXml/itemProps3.xml><?xml version="1.0" encoding="utf-8"?>
<ds:datastoreItem xmlns:ds="http://schemas.openxmlformats.org/officeDocument/2006/customXml" ds:itemID="{D1A0BBED-D062-467A-85E9-921FB5D2ABBC}"/>
</file>

<file path=docProps/app.xml><?xml version="1.0" encoding="utf-8"?>
<Properties xmlns="http://schemas.openxmlformats.org/officeDocument/2006/extended-properties" xmlns:vt="http://schemas.openxmlformats.org/officeDocument/2006/docPropsVTypes">
  <Template>Normal</Template>
  <TotalTime>82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Smith</dc:creator>
  <cp:lastModifiedBy>Abhijit Sarkar</cp:lastModifiedBy>
  <cp:revision>5</cp:revision>
  <cp:lastPrinted>2018-10-09T10:03:00Z</cp:lastPrinted>
  <dcterms:created xsi:type="dcterms:W3CDTF">2018-10-13T07:02:00Z</dcterms:created>
  <dcterms:modified xsi:type="dcterms:W3CDTF">2018-10-13T08:30:00Z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