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bookmarkStart w:colFirst="0" w:colLast="0" w:name="_gjdgxs" w:id="0"/>
      <w:bookmarkEnd w:id="0"/>
      <w:r w:rsidDel="00000000" w:rsidR="00000000" w:rsidRPr="00000000">
        <w:rPr>
          <w:b w:val="1"/>
          <w:rtl w:val="0"/>
        </w:rPr>
        <w:t xml:space="preserve">Bureau R&amp;D Workshop 2018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pStyle w:val="Heading1"/>
        <w:contextualSpacing w:val="0"/>
        <w:jc w:val="center"/>
        <w:rPr/>
      </w:pPr>
      <w:r w:rsidDel="00000000" w:rsidR="00000000" w:rsidRPr="00000000">
        <w:rPr>
          <w:rtl w:val="0"/>
        </w:rPr>
        <w:t xml:space="preserve">The Copernicus Arctic Marine Forecasting Center</w: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pStyle w:val="Heading2"/>
        <w:contextualSpacing w:val="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Øyvind Breivik</w:t>
      </w:r>
      <w:r w:rsidDel="00000000" w:rsidR="00000000" w:rsidRPr="00000000">
        <w:rPr>
          <w:rFonts w:ascii="Times New Roman" w:cs="Times New Roman" w:eastAsia="Times New Roman" w:hAnsi="Times New Roman"/>
          <w:color w:val="000000"/>
          <w:sz w:val="24"/>
          <w:szCs w:val="24"/>
          <w:vertAlign w:val="superscript"/>
          <w:rtl w:val="0"/>
        </w:rPr>
        <w:t xml:space="preserve">1,2</w:t>
      </w:r>
      <w:r w:rsidDel="00000000" w:rsidR="00000000" w:rsidRPr="00000000">
        <w:rPr>
          <w:rFonts w:ascii="Times New Roman" w:cs="Times New Roman" w:eastAsia="Times New Roman" w:hAnsi="Times New Roman"/>
          <w:color w:val="000000"/>
          <w:sz w:val="24"/>
          <w:szCs w:val="24"/>
          <w:rtl w:val="0"/>
        </w:rPr>
        <w:t xml:space="preserve">, Laurent Bertino</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Fonts w:ascii="Times New Roman" w:cs="Times New Roman" w:eastAsia="Times New Roman" w:hAnsi="Times New Roman"/>
          <w:color w:val="000000"/>
          <w:sz w:val="24"/>
          <w:szCs w:val="24"/>
          <w:rtl w:val="0"/>
        </w:rPr>
        <w:t xml:space="preserve"> and Kai H. Christensen</w:t>
      </w:r>
      <w:r w:rsidDel="00000000" w:rsidR="00000000" w:rsidRPr="00000000">
        <w:rPr>
          <w:rFonts w:ascii="Times New Roman" w:cs="Times New Roman" w:eastAsia="Times New Roman" w:hAnsi="Times New Roman"/>
          <w:color w:val="000000"/>
          <w:sz w:val="24"/>
          <w:szCs w:val="24"/>
          <w:vertAlign w:val="superscript"/>
          <w:rtl w:val="0"/>
        </w:rPr>
        <w:t xml:space="preserve">1,4</w:t>
      </w: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vertAlign w:val="superscript"/>
          <w:rtl w:val="0"/>
        </w:rPr>
        <w:t xml:space="preserve">1</w:t>
      </w:r>
      <w:r w:rsidDel="00000000" w:rsidR="00000000" w:rsidRPr="00000000">
        <w:rPr>
          <w:rFonts w:ascii="Times New Roman" w:cs="Times New Roman" w:eastAsia="Times New Roman" w:hAnsi="Times New Roman"/>
          <w:i w:val="1"/>
          <w:sz w:val="22"/>
          <w:szCs w:val="22"/>
          <w:rtl w:val="0"/>
        </w:rPr>
        <w:t xml:space="preserve">Norwegian Meteorological Institute</w:t>
      </w:r>
      <w:r w:rsidDel="00000000" w:rsidR="00000000" w:rsidRPr="00000000">
        <w:rPr>
          <w:rtl w:val="0"/>
        </w:rPr>
      </w:r>
    </w:p>
    <w:p w:rsidR="00000000" w:rsidDel="00000000" w:rsidP="00000000" w:rsidRDefault="00000000" w:rsidRPr="00000000" w14:paraId="00000007">
      <w:pPr>
        <w:contextualSpacing w:val="0"/>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vertAlign w:val="superscript"/>
          <w:rtl w:val="0"/>
        </w:rPr>
        <w:t xml:space="preserve">2</w:t>
      </w:r>
      <w:r w:rsidDel="00000000" w:rsidR="00000000" w:rsidRPr="00000000">
        <w:rPr>
          <w:rFonts w:ascii="Times New Roman" w:cs="Times New Roman" w:eastAsia="Times New Roman" w:hAnsi="Times New Roman"/>
          <w:i w:val="1"/>
          <w:sz w:val="22"/>
          <w:szCs w:val="22"/>
          <w:rtl w:val="0"/>
        </w:rPr>
        <w:t xml:space="preserve">University of Bergen, Norway</w:t>
      </w:r>
    </w:p>
    <w:p w:rsidR="00000000" w:rsidDel="00000000" w:rsidP="00000000" w:rsidRDefault="00000000" w:rsidRPr="00000000" w14:paraId="00000008">
      <w:pPr>
        <w:contextualSpacing w:val="0"/>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vertAlign w:val="superscript"/>
          <w:rtl w:val="0"/>
        </w:rPr>
        <w:t xml:space="preserve">3</w:t>
      </w:r>
      <w:r w:rsidDel="00000000" w:rsidR="00000000" w:rsidRPr="00000000">
        <w:rPr>
          <w:rFonts w:ascii="Times New Roman" w:cs="Times New Roman" w:eastAsia="Times New Roman" w:hAnsi="Times New Roman"/>
          <w:i w:val="1"/>
          <w:sz w:val="22"/>
          <w:szCs w:val="22"/>
          <w:rtl w:val="0"/>
        </w:rPr>
        <w:t xml:space="preserve">Nansen Environmental and Remote Sensing Center, Bergen, Norway</w:t>
      </w:r>
    </w:p>
    <w:p w:rsidR="00000000" w:rsidDel="00000000" w:rsidP="00000000" w:rsidRDefault="00000000" w:rsidRPr="00000000" w14:paraId="00000009">
      <w:pPr>
        <w:contextualSpacing w:val="0"/>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vertAlign w:val="superscript"/>
          <w:rtl w:val="0"/>
        </w:rPr>
        <w:t xml:space="preserve">4</w:t>
      </w:r>
      <w:r w:rsidDel="00000000" w:rsidR="00000000" w:rsidRPr="00000000">
        <w:rPr>
          <w:rFonts w:ascii="Times New Roman" w:cs="Times New Roman" w:eastAsia="Times New Roman" w:hAnsi="Times New Roman"/>
          <w:i w:val="1"/>
          <w:sz w:val="22"/>
          <w:szCs w:val="22"/>
          <w:rtl w:val="0"/>
        </w:rPr>
        <w:t xml:space="preserve">University of Oslo, Norway</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oyvind.breivik@met.no</w:t>
      </w:r>
    </w:p>
    <w:p w:rsidR="00000000" w:rsidDel="00000000" w:rsidP="00000000" w:rsidRDefault="00000000" w:rsidRPr="00000000" w14:paraId="0000000C">
      <w:pPr>
        <w:contextualSpacing w:val="0"/>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0D">
      <w:pPr>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Introduction</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Arctic Marine Forecasting Center (ARC MFC) is an ocean, sea-ice, wave, and bio-geochemistry forecasting and reanalysis system covering the Nordic Seas and Arctic Ocean North of 63°N (domain shown in Fig 1). The forecast system serves as the Arctic component of the Copernicus Marine Environmental Monitoring System and is run jointly by The Nansen Environmental and Remote Sensing Center and the Norwegian Meteorological Institute. The TOPAZ ocean and sea-ice model uses an advanced data assimilation (DA) technique (the Ensemble Kalman Filter, </w:t>
      </w:r>
      <w:r w:rsidDel="00000000" w:rsidR="00000000" w:rsidRPr="00000000">
        <w:rPr>
          <w:rFonts w:ascii="Times New Roman" w:cs="Times New Roman" w:eastAsia="Times New Roman" w:hAnsi="Times New Roman"/>
          <w:sz w:val="22"/>
          <w:szCs w:val="22"/>
          <w:rtl w:val="0"/>
        </w:rPr>
        <w:t xml:space="preserve">Sakov </w:t>
      </w:r>
      <w:r w:rsidDel="00000000" w:rsidR="00000000" w:rsidRPr="00000000">
        <w:rPr>
          <w:rFonts w:ascii="Times New Roman" w:cs="Times New Roman" w:eastAsia="Times New Roman" w:hAnsi="Times New Roman"/>
          <w:i w:val="1"/>
          <w:sz w:val="22"/>
          <w:szCs w:val="22"/>
          <w:rtl w:val="0"/>
        </w:rPr>
        <w:t xml:space="preserve">et al.</w:t>
      </w:r>
      <w:r w:rsidDel="00000000" w:rsidR="00000000" w:rsidRPr="00000000">
        <w:rPr>
          <w:rFonts w:ascii="Times New Roman" w:cs="Times New Roman" w:eastAsia="Times New Roman" w:hAnsi="Times New Roman"/>
          <w:sz w:val="22"/>
          <w:szCs w:val="22"/>
          <w:rtl w:val="0"/>
        </w:rPr>
        <w:t xml:space="preserve">, 2012</w:t>
      </w:r>
      <w:r w:rsidDel="00000000" w:rsidR="00000000" w:rsidRPr="00000000">
        <w:rPr>
          <w:rFonts w:ascii="Times New Roman" w:cs="Times New Roman" w:eastAsia="Times New Roman" w:hAnsi="Times New Roman"/>
          <w:sz w:val="22"/>
          <w:szCs w:val="22"/>
          <w:rtl w:val="0"/>
        </w:rPr>
        <w:t xml:space="preserve">) to constrain the system to six real-time satellite and in situ observational products. In addition to the dissemination of daily forecasts and a reanalysis, a broad range of product quality assessments are performed on weekly and quarterly intervals. The forecast system also includes a wave model which issues fluxes for the estimation of wave effects in the upper ocean as well (see conceptual overview of the forecast system in Fig 2).</w:t>
      </w:r>
    </w:p>
    <w:p w:rsidR="00000000" w:rsidDel="00000000" w:rsidP="00000000" w:rsidRDefault="00000000" w:rsidRPr="00000000" w14:paraId="00000010">
      <w:pPr>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contextualSpacing w:val="0"/>
        <w:jc w:val="both"/>
        <w:rPr/>
      </w:pPr>
      <w:r w:rsidDel="00000000" w:rsidR="00000000" w:rsidRPr="00000000">
        <w:rPr>
          <w:rFonts w:ascii="Times New Roman" w:cs="Times New Roman" w:eastAsia="Times New Roman" w:hAnsi="Times New Roman"/>
          <w:sz w:val="22"/>
          <w:szCs w:val="22"/>
          <w:rtl w:val="0"/>
        </w:rPr>
        <w:t xml:space="preserve">Here we present the operational forecast system, its Ensemble Kalman Filter DA and the overall performance of the system. We will also present results from an experimental setup incorporating physical processes related to surface waves, notably parameterizations of Langmuir turbulence (Ali et al, 2018). Wave attenuation in ocean sea ice is also under development, and some preliminary results from different wave damping parameterizations will be presented</w:t>
      </w:r>
      <w:r w:rsidDel="00000000" w:rsidR="00000000" w:rsidRPr="00000000">
        <w:rPr>
          <w:rtl w:val="0"/>
        </w:rPr>
      </w:r>
    </w:p>
    <w:p w:rsidR="00000000" w:rsidDel="00000000" w:rsidP="00000000" w:rsidRDefault="00000000" w:rsidRPr="00000000" w14:paraId="00000012">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3">
      <w:pPr>
        <w:contextualSpacing w:val="0"/>
        <w:jc w:val="both"/>
        <w:rPr>
          <w:rFonts w:ascii="Times New Roman" w:cs="Times New Roman" w:eastAsia="Times New Roman" w:hAnsi="Times New Roman"/>
          <w:sz w:val="22"/>
          <w:szCs w:val="22"/>
        </w:rPr>
      </w:pPr>
      <w:r w:rsidDel="00000000" w:rsidR="00000000" w:rsidRPr="00000000">
        <w:rPr>
          <w:rFonts w:ascii="Arial" w:cs="Arial" w:eastAsia="Arial" w:hAnsi="Arial"/>
          <w:b w:val="1"/>
        </w:rPr>
        <w:drawing>
          <wp:inline distB="114300" distT="114300" distL="114300" distR="114300">
            <wp:extent cx="5276850" cy="2350135"/>
            <wp:effectExtent b="0" l="0" r="0" t="0"/>
            <wp:docPr id="1" name="image2.png"/>
            <a:graphic>
              <a:graphicData uri="http://schemas.openxmlformats.org/drawingml/2006/picture">
                <pic:pic>
                  <pic:nvPicPr>
                    <pic:cNvPr id="0" name="image2.png"/>
                    <pic:cNvPicPr preferRelativeResize="0"/>
                  </pic:nvPicPr>
                  <pic:blipFill>
                    <a:blip r:embed="rId6"/>
                    <a:srcRect b="0" l="0" r="0" t="49494"/>
                    <a:stretch>
                      <a:fillRect/>
                    </a:stretch>
                  </pic:blipFill>
                  <pic:spPr>
                    <a:xfrm>
                      <a:off x="0" y="0"/>
                      <a:ext cx="5276850" cy="235013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sz w:val="22"/>
          <w:szCs w:val="22"/>
        </w:rPr>
      </w:pPr>
      <w:r w:rsidDel="00000000" w:rsidR="00000000" w:rsidRPr="00000000">
        <w:rPr>
          <w:rtl w:val="0"/>
        </w:rPr>
        <w:t xml:space="preserve">Figure 1. Mixed layer depth January-March (left) and July-September (right). The TOPAZ model domain used for ARC MFC covers the North Atlantic and the Arctic Ocean. </w:t>
      </w: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drawing>
          <wp:inline distB="114300" distT="114300" distL="114300" distR="114300">
            <wp:extent cx="5280660" cy="3771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8066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Figure 2. Conceptual overview of the ARC MFC forecast system and its EnKF data assimilation system.</w:t>
      </w:r>
    </w:p>
    <w:p w:rsidR="00000000" w:rsidDel="00000000" w:rsidP="00000000" w:rsidRDefault="00000000" w:rsidRPr="00000000" w14:paraId="00000017">
      <w:pPr>
        <w:pStyle w:val="Heading1"/>
        <w:contextualSpacing w:val="0"/>
        <w:rPr>
          <w:color w:val="0000ff"/>
          <w:u w:val="single"/>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18">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Sakov, P., F. Counillon, L. Bertino, K. A. Lisæter, P. R. Oke, and A. Korablev. 2012. TOPAZ4: An Ocean-Sea Ice Data Assimilation System for the North Atlantic and Arctic., </w:t>
      </w:r>
      <w:r w:rsidDel="00000000" w:rsidR="00000000" w:rsidRPr="00000000">
        <w:rPr>
          <w:rFonts w:ascii="Times New Roman" w:cs="Times New Roman" w:eastAsia="Times New Roman" w:hAnsi="Times New Roman"/>
          <w:i w:val="1"/>
          <w:sz w:val="22"/>
          <w:szCs w:val="22"/>
          <w:rtl w:val="0"/>
        </w:rPr>
        <w:t xml:space="preserve">Ocean Sci</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8</w:t>
      </w:r>
      <w:r w:rsidDel="00000000" w:rsidR="00000000" w:rsidRPr="00000000">
        <w:rPr>
          <w:rFonts w:ascii="Times New Roman" w:cs="Times New Roman" w:eastAsia="Times New Roman" w:hAnsi="Times New Roman"/>
          <w:sz w:val="22"/>
          <w:szCs w:val="22"/>
          <w:rtl w:val="0"/>
        </w:rPr>
        <w:t xml:space="preserve">(4), 633–56. doi:10.5194/os-8-633-2012</w:t>
      </w:r>
    </w:p>
    <w:p w:rsidR="00000000" w:rsidDel="00000000" w:rsidP="00000000" w:rsidRDefault="00000000" w:rsidRPr="00000000" w14:paraId="00000019">
      <w:pPr>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Ali, A, K Christensen, Ø Breivik, M Malila, R Raj, L Bertino, E Chassignet and M Bakhoday-Paskyabi (2018). A comparison of Langmuir turbulence parameterizations and key wave effects in a numerical model of the North Atlantic and Arctic Oceans, </w:t>
      </w:r>
      <w:r w:rsidDel="00000000" w:rsidR="00000000" w:rsidRPr="00000000">
        <w:rPr>
          <w:rFonts w:ascii="Times New Roman" w:cs="Times New Roman" w:eastAsia="Times New Roman" w:hAnsi="Times New Roman"/>
          <w:i w:val="1"/>
          <w:sz w:val="22"/>
          <w:szCs w:val="22"/>
          <w:rtl w:val="0"/>
        </w:rPr>
        <w:t xml:space="preserve">Submitted to Ocean Modell</w:t>
      </w:r>
      <w:r w:rsidDel="00000000" w:rsidR="00000000" w:rsidRPr="00000000">
        <w:rPr>
          <w:rtl w:val="0"/>
        </w:rPr>
      </w:r>
    </w:p>
    <w:p w:rsidR="00000000" w:rsidDel="00000000" w:rsidP="00000000" w:rsidRDefault="00000000" w:rsidRPr="00000000" w14:paraId="0000001B">
      <w:pPr>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r>
    </w:p>
    <w:sectPr>
      <w:pgSz w:h="16840" w:w="11900"/>
      <w:pgMar w:bottom="851" w:top="851"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b w:val="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C0D9375A-1A23-4281-ACED-5D29C7E78DEE}"/>
</file>

<file path=customXml/itemProps2.xml><?xml version="1.0" encoding="utf-8"?>
<ds:datastoreItem xmlns:ds="http://schemas.openxmlformats.org/officeDocument/2006/customXml" ds:itemID="{8F4A551E-3111-4D8A-AB4A-8945C6D73012}"/>
</file>

<file path=customXml/itemProps3.xml><?xml version="1.0" encoding="utf-8"?>
<ds:datastoreItem xmlns:ds="http://schemas.openxmlformats.org/officeDocument/2006/customXml" ds:itemID="{C7341C45-34AF-490C-8D4D-B673491309A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